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7" w:rightChars="167" w:firstLine="707" w:firstLineChars="160"/>
        <w:jc w:val="center"/>
        <w:rPr>
          <w:rFonts w:hint="eastAsia" w:ascii="方正小标宋简体" w:eastAsia="方正小标宋简体" w:hAnsiTheme="majorEastAsia"/>
          <w:b/>
          <w:sz w:val="44"/>
          <w:szCs w:val="44"/>
          <w:lang w:eastAsia="zh-CN"/>
        </w:rPr>
      </w:pPr>
      <w:r>
        <w:rPr>
          <w:rFonts w:hint="eastAsia" w:ascii="方正小标宋简体" w:eastAsia="方正小标宋简体" w:hAnsiTheme="majorEastAsia"/>
          <w:b/>
          <w:sz w:val="44"/>
          <w:szCs w:val="44"/>
          <w:lang w:eastAsia="zh-CN"/>
        </w:rPr>
        <w:t>峨山县财政局202</w:t>
      </w:r>
      <w:r>
        <w:rPr>
          <w:rFonts w:hint="eastAsia" w:ascii="方正小标宋简体" w:eastAsia="方正小标宋简体" w:hAnsiTheme="majorEastAsia"/>
          <w:b/>
          <w:sz w:val="44"/>
          <w:szCs w:val="44"/>
          <w:lang w:val="en-US" w:eastAsia="zh-CN"/>
        </w:rPr>
        <w:t>3</w:t>
      </w:r>
      <w:r>
        <w:rPr>
          <w:rFonts w:hint="eastAsia" w:ascii="方正小标宋简体" w:eastAsia="方正小标宋简体" w:hAnsiTheme="majorEastAsia"/>
          <w:b/>
          <w:sz w:val="44"/>
          <w:szCs w:val="44"/>
          <w:lang w:eastAsia="zh-CN"/>
        </w:rPr>
        <w:t>年预算绩效管理工作开展情况</w:t>
      </w:r>
    </w:p>
    <w:p>
      <w:pPr>
        <w:spacing w:after="0" w:line="360" w:lineRule="auto"/>
        <w:ind w:firstLine="640" w:firstLineChars="200"/>
        <w:rPr>
          <w:rFonts w:ascii="方正仿宋_GBK" w:eastAsia="方正仿宋_GBK"/>
          <w:sz w:val="32"/>
          <w:szCs w:val="32"/>
          <w:lang w:eastAsia="zh-CN"/>
        </w:rPr>
      </w:pPr>
      <w:r>
        <w:rPr>
          <w:rFonts w:hint="eastAsia" w:ascii="方正仿宋_GBK" w:eastAsia="方正仿宋_GBK"/>
          <w:sz w:val="32"/>
          <w:szCs w:val="32"/>
          <w:lang w:eastAsia="zh-CN"/>
        </w:rPr>
        <w:t>按照党的十九大提出的“全面实施绩效管理”的要求。</w:t>
      </w:r>
      <w:r>
        <w:rPr>
          <w:rFonts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3</w:t>
      </w:r>
      <w:r>
        <w:rPr>
          <w:rFonts w:hint="eastAsia" w:ascii="方正仿宋_GBK" w:eastAsia="方正仿宋_GBK"/>
          <w:sz w:val="32"/>
          <w:szCs w:val="32"/>
          <w:lang w:eastAsia="zh-CN"/>
        </w:rPr>
        <w:t>年全市将建成全方位、全过程、全覆盖的预算绩效管理体系的目标。</w:t>
      </w:r>
      <w:r>
        <w:rPr>
          <w:rFonts w:hint="eastAsia"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3</w:t>
      </w:r>
      <w:r>
        <w:rPr>
          <w:rFonts w:hint="eastAsia" w:ascii="方正仿宋_GBK" w:eastAsia="方正仿宋_GBK"/>
          <w:sz w:val="32"/>
          <w:szCs w:val="32"/>
          <w:lang w:eastAsia="zh-CN"/>
        </w:rPr>
        <w:t>年我县重点</w:t>
      </w:r>
      <w:bookmarkStart w:id="0" w:name="_GoBack"/>
      <w:bookmarkEnd w:id="0"/>
      <w:r>
        <w:rPr>
          <w:rFonts w:hint="eastAsia" w:ascii="方正仿宋_GBK" w:eastAsia="方正仿宋_GBK"/>
          <w:sz w:val="32"/>
          <w:szCs w:val="32"/>
          <w:lang w:eastAsia="zh-CN"/>
        </w:rPr>
        <w:t>推动各部门实施预算绩效管理，进一步完善全覆盖预算绩效管理体系，将“四本预算”纳入预算绩效管理。落实新增重大政策项目和到期政策绩效评估机制，有效开展绩效自评和运行监控，积极探索部门绩效评价，加大各环节绩效管理结果应用，形成更加注重结果导向，更加关注成本效益，激励约束机制更加健全的预算绩效管理模式。</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ascii="方正仿宋_GBK" w:eastAsia="方正仿宋_GBK"/>
          <w:b/>
          <w:sz w:val="32"/>
          <w:szCs w:val="32"/>
          <w:lang w:eastAsia="zh-CN"/>
        </w:rPr>
      </w:pPr>
      <w:r>
        <w:rPr>
          <w:rFonts w:hint="eastAsia" w:ascii="方正仿宋_GBK" w:eastAsia="方正仿宋_GBK"/>
          <w:b/>
          <w:sz w:val="32"/>
          <w:szCs w:val="32"/>
          <w:lang w:eastAsia="zh-CN"/>
        </w:rPr>
        <w:t>一、健全预算绩效体系</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ascii="方正仿宋_GBK" w:eastAsia="方正仿宋_GBK"/>
          <w:sz w:val="32"/>
          <w:szCs w:val="32"/>
          <w:lang w:eastAsia="zh-CN"/>
        </w:rPr>
      </w:pPr>
      <w:r>
        <w:rPr>
          <w:rFonts w:hint="eastAsia" w:ascii="方正仿宋_GBK" w:eastAsia="方正仿宋_GBK"/>
          <w:sz w:val="32"/>
          <w:szCs w:val="32"/>
          <w:lang w:eastAsia="zh-CN"/>
        </w:rPr>
        <w:t>为贯彻落实党的十九大“加快建立现代财政制度，建立全面规范透明、标准科学、约束有力的预算制度，全面实施绩效管理”的要求，财政局于</w:t>
      </w:r>
      <w:r>
        <w:rPr>
          <w:rFonts w:hint="eastAsia" w:ascii="Times New Roman" w:hAnsi="Times New Roman" w:eastAsia="方正仿宋_GBK" w:cs="Times New Roman"/>
          <w:sz w:val="32"/>
          <w:szCs w:val="32"/>
          <w:lang w:eastAsia="zh-CN"/>
        </w:rPr>
        <w:t>2021</w:t>
      </w:r>
      <w:r>
        <w:rPr>
          <w:rFonts w:hint="eastAsia" w:ascii="方正仿宋_GBK" w:eastAsia="方正仿宋_GBK"/>
          <w:sz w:val="32"/>
          <w:szCs w:val="32"/>
          <w:lang w:eastAsia="zh-CN"/>
        </w:rPr>
        <w:t>年</w:t>
      </w:r>
      <w:r>
        <w:rPr>
          <w:rFonts w:hint="eastAsia" w:ascii="Times New Roman" w:hAnsi="Times New Roman" w:eastAsia="方正仿宋_GBK" w:cs="Times New Roman"/>
          <w:sz w:val="32"/>
          <w:szCs w:val="32"/>
          <w:lang w:eastAsia="zh-CN"/>
        </w:rPr>
        <w:t>9</w:t>
      </w:r>
      <w:r>
        <w:rPr>
          <w:rFonts w:hint="eastAsia" w:ascii="方正仿宋_GBK" w:eastAsia="方正仿宋_GBK"/>
          <w:sz w:val="32"/>
          <w:szCs w:val="32"/>
          <w:lang w:eastAsia="zh-CN"/>
        </w:rPr>
        <w:t>月制定印《</w:t>
      </w:r>
      <w:r>
        <w:rPr>
          <w:rFonts w:hint="eastAsia" w:ascii="Times New Roman" w:hAnsi="Times New Roman" w:eastAsia="方正仿宋_GBK" w:cs="Times New Roman"/>
          <w:sz w:val="32"/>
          <w:szCs w:val="32"/>
          <w:lang w:eastAsia="zh-CN"/>
        </w:rPr>
        <w:t>2022-2024</w:t>
      </w:r>
      <w:r>
        <w:rPr>
          <w:rFonts w:hint="eastAsia" w:ascii="方正仿宋_GBK" w:eastAsia="方正仿宋_GBK"/>
          <w:sz w:val="32"/>
          <w:szCs w:val="32"/>
          <w:lang w:eastAsia="zh-CN"/>
        </w:rPr>
        <w:t>年预算项目库编审要求》（峨财发〔</w:t>
      </w:r>
      <w:r>
        <w:rPr>
          <w:rFonts w:hint="eastAsia" w:ascii="Times New Roman" w:hAnsi="Times New Roman" w:eastAsia="方正仿宋_GBK" w:cs="Times New Roman"/>
          <w:sz w:val="32"/>
          <w:szCs w:val="32"/>
          <w:lang w:eastAsia="zh-CN"/>
        </w:rPr>
        <w:t>2021</w:t>
      </w:r>
      <w:r>
        <w:rPr>
          <w:rFonts w:hint="eastAsia" w:ascii="方正仿宋_GBK" w:eastAsia="方正仿宋_GBK"/>
          <w:sz w:val="32"/>
          <w:szCs w:val="32"/>
          <w:lang w:eastAsia="zh-CN"/>
        </w:rPr>
        <w:t>〕</w:t>
      </w:r>
      <w:r>
        <w:rPr>
          <w:rFonts w:hint="eastAsia" w:ascii="Times New Roman" w:hAnsi="Times New Roman" w:eastAsia="方正仿宋_GBK" w:cs="Times New Roman"/>
          <w:sz w:val="32"/>
          <w:szCs w:val="32"/>
          <w:lang w:eastAsia="zh-CN"/>
        </w:rPr>
        <w:t>89</w:t>
      </w:r>
      <w:r>
        <w:rPr>
          <w:rFonts w:hint="eastAsia" w:ascii="方正仿宋_GBK" w:eastAsia="方正仿宋_GBK"/>
          <w:sz w:val="32"/>
          <w:szCs w:val="32"/>
          <w:lang w:eastAsia="zh-CN"/>
        </w:rPr>
        <w:t>号）。有效解决项目立项随意、论证不充分、细化不够、数量过多、交叉重复及“钱等项目”等问题，切实提高预算执行的速度和质量，提高项目支出预算管理水平。为全面实施预算绩效管理，健全全过程预算绩效管理体系，优化财政资源配置，推动建立项目（政策）立项评估决策机制，强化项目库管理，</w:t>
      </w:r>
      <w:r>
        <w:rPr>
          <w:rFonts w:hint="eastAsia" w:ascii="Times New Roman" w:hAnsi="Times New Roman" w:eastAsia="方正仿宋_GBK" w:cs="Times New Roman"/>
          <w:sz w:val="32"/>
          <w:szCs w:val="32"/>
          <w:lang w:eastAsia="zh-CN"/>
        </w:rPr>
        <w:t>2021</w:t>
      </w:r>
      <w:r>
        <w:rPr>
          <w:rFonts w:hint="eastAsia" w:ascii="方正仿宋_GBK" w:eastAsia="方正仿宋_GBK"/>
          <w:sz w:val="32"/>
          <w:szCs w:val="32"/>
          <w:lang w:eastAsia="zh-CN"/>
        </w:rPr>
        <w:t>年</w:t>
      </w:r>
      <w:r>
        <w:rPr>
          <w:rFonts w:hint="eastAsia" w:ascii="Times New Roman" w:hAnsi="Times New Roman" w:eastAsia="方正仿宋_GBK" w:cs="Times New Roman"/>
          <w:sz w:val="32"/>
          <w:szCs w:val="32"/>
          <w:lang w:eastAsia="zh-CN"/>
        </w:rPr>
        <w:t>10</w:t>
      </w:r>
      <w:r>
        <w:rPr>
          <w:rFonts w:hint="eastAsia" w:ascii="方正仿宋_GBK" w:eastAsia="方正仿宋_GBK"/>
          <w:sz w:val="32"/>
          <w:szCs w:val="32"/>
          <w:lang w:eastAsia="zh-CN"/>
        </w:rPr>
        <w:t>月，制定印发《峨山县预算项目事前绩效评估管理（试行）办法》（峨财发〔</w:t>
      </w:r>
      <w:r>
        <w:rPr>
          <w:rFonts w:hint="eastAsia" w:ascii="Times New Roman" w:hAnsi="Times New Roman" w:eastAsia="方正仿宋_GBK" w:cs="Times New Roman"/>
          <w:sz w:val="32"/>
          <w:szCs w:val="32"/>
          <w:lang w:eastAsia="zh-CN"/>
        </w:rPr>
        <w:t>2021</w:t>
      </w:r>
      <w:r>
        <w:rPr>
          <w:rFonts w:hint="eastAsia" w:ascii="方正仿宋_GBK" w:eastAsia="方正仿宋_GBK"/>
          <w:sz w:val="32"/>
          <w:szCs w:val="32"/>
          <w:lang w:eastAsia="zh-CN"/>
        </w:rPr>
        <w:t>〕</w:t>
      </w:r>
      <w:r>
        <w:rPr>
          <w:rFonts w:hint="eastAsia" w:ascii="Times New Roman" w:hAnsi="Times New Roman" w:eastAsia="方正仿宋_GBK" w:cs="Times New Roman"/>
          <w:sz w:val="32"/>
          <w:szCs w:val="32"/>
          <w:lang w:eastAsia="zh-CN"/>
        </w:rPr>
        <w:t>98</w:t>
      </w:r>
      <w:r>
        <w:rPr>
          <w:rFonts w:hint="eastAsia" w:ascii="方正仿宋_GBK" w:eastAsia="方正仿宋_GBK"/>
          <w:sz w:val="32"/>
          <w:szCs w:val="32"/>
          <w:lang w:eastAsia="zh-CN"/>
        </w:rPr>
        <w:t>号）。今年组建评审专家库，出台绩效评估制度，制定了《峨山县财政事前绩效评估工作流程》峨财发〔</w:t>
      </w:r>
      <w:r>
        <w:rPr>
          <w:rFonts w:hint="eastAsia" w:ascii="Times New Roman" w:hAnsi="Times New Roman" w:eastAsia="方正仿宋_GBK" w:cs="Times New Roman"/>
          <w:sz w:val="32"/>
          <w:szCs w:val="32"/>
          <w:lang w:eastAsia="zh-CN"/>
        </w:rPr>
        <w:t>2022</w:t>
      </w:r>
      <w:r>
        <w:rPr>
          <w:rFonts w:hint="eastAsia" w:ascii="方正仿宋_GBK" w:eastAsia="方正仿宋_GBK"/>
          <w:sz w:val="32"/>
          <w:szCs w:val="32"/>
          <w:lang w:eastAsia="zh-CN"/>
        </w:rPr>
        <w:t>〕</w:t>
      </w:r>
      <w:r>
        <w:rPr>
          <w:rFonts w:hint="eastAsia" w:ascii="Times New Roman" w:hAnsi="Times New Roman" w:eastAsia="方正仿宋_GBK" w:cs="Times New Roman"/>
          <w:sz w:val="32"/>
          <w:szCs w:val="32"/>
          <w:lang w:eastAsia="zh-CN"/>
        </w:rPr>
        <w:t>63</w:t>
      </w:r>
      <w:r>
        <w:rPr>
          <w:rFonts w:hint="eastAsia" w:ascii="方正仿宋_GBK" w:eastAsia="方正仿宋_GBK"/>
          <w:sz w:val="32"/>
          <w:szCs w:val="32"/>
          <w:lang w:eastAsia="zh-CN"/>
        </w:rPr>
        <w:t>号文件，建立县级事前评估机制。对拟新出台的重大政策和项目，运用科学合理的评估方法，从立项必要性、投入经济性、绩效目标合理性、实施方案可行性和筹资合规性等方面进行客观公正的评估，把好资金入口关，优化财政资源配置。</w:t>
      </w:r>
    </w:p>
    <w:p>
      <w:pPr>
        <w:keepNext w:val="0"/>
        <w:keepLines w:val="0"/>
        <w:pageBreakBefore w:val="0"/>
        <w:widowControl/>
        <w:kinsoku/>
        <w:wordWrap/>
        <w:overflowPunct/>
        <w:topLinePunct w:val="0"/>
        <w:autoSpaceDE/>
        <w:autoSpaceDN/>
        <w:bidi w:val="0"/>
        <w:adjustRightInd/>
        <w:snapToGrid/>
        <w:spacing w:after="0" w:line="240" w:lineRule="auto"/>
        <w:ind w:firstLine="643" w:firstLineChars="200"/>
        <w:textAlignment w:val="auto"/>
        <w:rPr>
          <w:rFonts w:ascii="方正仿宋_GBK" w:eastAsia="方正仿宋_GBK"/>
          <w:b/>
          <w:sz w:val="32"/>
          <w:szCs w:val="32"/>
          <w:lang w:eastAsia="zh-CN"/>
        </w:rPr>
      </w:pPr>
      <w:r>
        <w:rPr>
          <w:rFonts w:hint="eastAsia" w:ascii="方正仿宋_GBK" w:eastAsia="方正仿宋_GBK"/>
          <w:b/>
          <w:sz w:val="32"/>
          <w:szCs w:val="32"/>
          <w:lang w:eastAsia="zh-CN"/>
        </w:rPr>
        <w:t>二、落实全过程预算绩效管理</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（一）2月完成县对部门2022年度预算绩效考核工作。</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二）2月至3月，根据《玉溪市财政局关于开展2022年度市级部门整体和项目支出预算绩效自评工作的通知》（玉财投〔2023〕1号精神，组织我县各预算单位开展2022年度县级部门整体和项目支出预算绩效自评工作。项目支出绩效自评，全县66个单位（县级单位55个，上划单位3个，乡镇8个）共计1392个项目，自评结果为优的1030个，占自评项目总数74%，自评结果为良的238个，占自评项目总数17.1%，自评结果为中的69个，占自评项目总数4.9%，自评结果为差的55个，占自评项目总数4%。</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4月至5月，组织对2022年度各预算单位绩效自评开展情况进行抽查，项目支出绩效自评抽查的项目共14个，项目资金5.2亿元，单位自评为优的项目11个，自评抽查后为优的项目10个；单位自评为良的项目1个，自评抽查后为良的2个；单位自评为中的项目2个，自评抽查后为中的2个。本次绩效自评抽查结果作为部门预算绩效管理水平综合评价的重要内容，纳入单位绩效管理工作考核的范围。对抽查结果为“优”和“良”的项目在次年预算安排中优先予以支持；对抽查结果为“中”或“差”的项目，将在次年从紧从严安排预算或取消预算安排；对未按要求开展自评、自评结果与抽查结果出入较大的予以通报；对使用财政资金低效无效并造成重大损失、绩效自评弄虚作假且情节严重的，按照规定移交有关部门处理。</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（四）4月，根据《玉溪市财政局关于开展预算单位委托第三方参与绩效管理专项检查的通知》（玉财监〔2023〕5号），对我县2022年度预算单位委托第三方参与绩效管理工作开展了专项检查。4月7日已完成。</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五）重点对彩票公益金进行了部门事前绩效评估，共4个乡镇，总投资298.14万元，经评估核定为265.75万元，调减32.39万元，调减率10.8%。出具了事前评估报告并反馈给资金股室和预算股。由第三方云南驰丰企业管理咨询有限公司对峨山县人工影响天气工作经费项目进行了事前绩效评估，总投资258.31万元，经评估核定为242.31万元，调减16.00万元，调减率6.20%。出具了事前评估报告并反馈给资金股室和预算股。</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六）完成1-9月绩效运行监控的项目数为1289个，433563.07万元，已做到项目全覆盖。开展2023年度财政重点绩效运行监控项目4个，金额25582.46万元。通过对预算执行情况和绩效目标完成情况的监控检查、数据统计分析、即时绩效评判等，动态了解和掌握预算资金投入项目的实施情况，合理把控项目目标实现程度、资金支出进度、项目实施进程，及时发现预算执行中存在的问题。</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七）2023年度通过邀请第三方机构对1个部门整体4个重点项目共计18691.09万元开展财政绩效评价。卫生健康局2022年部门整体支出绩效评价得87.58分，评价等级为“良”；城乡医疗救助财政补助资金绩效评价得90.54分，评价等级为“优”；农村居民最低生活保障补助资金绩效评价得94.95分，评价等级为“优”；化念镇移民农副产品物流中心标准化产房建设项目绩效评价得78.25分，评价等级为“中”；化念综合物流园建设项目绩效评价得78.5分，评价等级为“中”。按要求已向县委、人大、政府、纪检、审计通报。评价结果应用按要求开展。</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（八）完成共性绩效指标框架建设和分行业分领域预算绩效指标和标准体系建设。共建成部门整体绩效指标416条，分行业分领域绩效指标2812条，共性指标19类222条。</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（九）在本地区媒体发表预算绩效管理信息6篇。</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（十）完成预算绩效管理工作业务培训2期169人。</w:t>
      </w:r>
    </w:p>
    <w:p>
      <w:pPr>
        <w:keepNext w:val="0"/>
        <w:keepLines w:val="0"/>
        <w:pageBreakBefore w:val="0"/>
        <w:widowControl/>
        <w:kinsoku/>
        <w:wordWrap/>
        <w:overflowPunct/>
        <w:topLinePunct w:val="0"/>
        <w:autoSpaceDE/>
        <w:autoSpaceDN/>
        <w:bidi w:val="0"/>
        <w:adjustRightInd/>
        <w:snapToGrid/>
        <w:spacing w:after="0" w:line="240" w:lineRule="auto"/>
        <w:ind w:firstLine="643" w:firstLineChars="200"/>
        <w:textAlignment w:val="auto"/>
        <w:rPr>
          <w:rFonts w:ascii="方正仿宋_GBK" w:eastAsia="方正仿宋_GBK"/>
          <w:b/>
          <w:sz w:val="32"/>
          <w:szCs w:val="32"/>
          <w:lang w:eastAsia="zh-CN"/>
        </w:rPr>
      </w:pPr>
      <w:r>
        <w:rPr>
          <w:rFonts w:hint="eastAsia" w:ascii="方正仿宋_GBK" w:eastAsia="方正仿宋_GBK"/>
          <w:b/>
          <w:sz w:val="32"/>
          <w:szCs w:val="32"/>
          <w:lang w:eastAsia="zh-CN"/>
        </w:rPr>
        <w:t>三、政策效果</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ascii="方正仿宋_GBK" w:eastAsia="方正仿宋_GBK"/>
          <w:sz w:val="32"/>
          <w:szCs w:val="32"/>
          <w:lang w:eastAsia="zh-CN"/>
        </w:rPr>
      </w:pPr>
      <w:r>
        <w:rPr>
          <w:rFonts w:hint="eastAsia" w:ascii="方正仿宋_GBK" w:eastAsia="方正仿宋_GBK"/>
          <w:sz w:val="32"/>
          <w:szCs w:val="32"/>
          <w:lang w:eastAsia="zh-CN"/>
        </w:rPr>
        <w:t>一是绩效理念逐步树立。通过绩效工作的开展，对预算绩效工作的态度逐渐由“被动接受”变为“主动实施”。通过设定绩效目标，部门（单位）更加清楚地了解实施项目所要取得社会效益和经济效益，其职能和目标得到了进一步明确，部门自我约束意识及责任意识明显提高。“预算编制有目标，预算执行有监控，预算完成有评价，评价结果有反馈，反馈结果有应用”的绩效管理理念正逐步在各预算部门树立。</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ascii="方正仿宋_GBK" w:eastAsia="方正仿宋_GBK"/>
          <w:sz w:val="32"/>
          <w:szCs w:val="32"/>
          <w:lang w:eastAsia="zh-CN"/>
        </w:rPr>
      </w:pPr>
      <w:r>
        <w:rPr>
          <w:rFonts w:hint="eastAsia" w:ascii="方正仿宋_GBK" w:eastAsia="方正仿宋_GBK"/>
          <w:sz w:val="32"/>
          <w:szCs w:val="32"/>
          <w:lang w:eastAsia="zh-CN"/>
        </w:rPr>
        <w:t>二是支出结构得到优化。从单纯的事后绩效评价转变为与开展绩效目标管理、事前评估、事中绩效监控相结合的预算绩效管理方式，把预算编制与部门发展规划和绩效目标联系起来，并进行跟踪问效。一方面，促使预算的编制更科学、更规范，有利于财政部门优化财政支出结构，合理分配资金，使有限的财政资金发挥更大的效益。另一方面，通过开展绩效评价，为项目单位找出项目管理中存在的问题及其原因，促使预算部门和单位积极采取措施，加强项目的规划与科学论证，健全项目资金的核算与管理制度，改进资金使用管理方式，逐步形成自我约束、内部规范的良性机制，提高管理水平和资金使用效益。</w:t>
      </w:r>
    </w:p>
    <w:p>
      <w:pPr>
        <w:keepNext w:val="0"/>
        <w:keepLines w:val="0"/>
        <w:pageBreakBefore w:val="0"/>
        <w:widowControl/>
        <w:kinsoku/>
        <w:wordWrap/>
        <w:overflowPunct/>
        <w:topLinePunct w:val="0"/>
        <w:autoSpaceDE/>
        <w:autoSpaceDN/>
        <w:bidi w:val="0"/>
        <w:adjustRightInd/>
        <w:snapToGrid/>
        <w:spacing w:after="0" w:line="240" w:lineRule="auto"/>
        <w:ind w:firstLine="640" w:firstLineChars="200"/>
        <w:textAlignment w:val="auto"/>
        <w:rPr>
          <w:rFonts w:ascii="方正仿宋_GBK" w:eastAsia="方正仿宋_GBK"/>
          <w:sz w:val="32"/>
          <w:szCs w:val="32"/>
          <w:lang w:eastAsia="zh-CN"/>
        </w:rPr>
      </w:pPr>
      <w:r>
        <w:rPr>
          <w:rFonts w:hint="eastAsia" w:ascii="方正仿宋_GBK" w:eastAsia="方正仿宋_GBK"/>
          <w:sz w:val="32"/>
          <w:szCs w:val="32"/>
          <w:lang w:eastAsia="zh-CN"/>
        </w:rPr>
        <w:t>三是形成了“以财政部门为主导，以主管部门为依托，以单位自评为基础，财政再评价为重点”的绩效评价工作组织体系，进一步提升了财政资金的使用效益。为县级部门规范实施预算绩效管理，做好全年预算绩效管理工作奠定了良好基础。</w:t>
      </w:r>
    </w:p>
    <w:sectPr>
      <w:footerReference r:id="rId5" w:type="default"/>
      <w:pgSz w:w="11906" w:h="16838"/>
      <w:pgMar w:top="1440" w:right="1800" w:bottom="1440" w:left="1800" w:header="851" w:footer="992" w:gutter="0"/>
      <w:pgNumType w:fmt="numberInDash"/>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snapToGrid w:val="0"/>
                  <w:rPr>
                    <w:sz w:val="18"/>
                    <w:lang w:eastAsia="zh-CN"/>
                  </w:rPr>
                </w:pPr>
                <w:r>
                  <w:rPr>
                    <w:rFonts w:ascii="Times New Roman" w:hAnsi="Times New Roman" w:cs="Times New Roman"/>
                    <w:sz w:val="32"/>
                    <w:szCs w:val="32"/>
                    <w:lang w:eastAsia="zh-CN"/>
                  </w:rPr>
                  <w:fldChar w:fldCharType="begin"/>
                </w:r>
                <w:r>
                  <w:rPr>
                    <w:rFonts w:ascii="Times New Roman" w:hAnsi="Times New Roman" w:cs="Times New Roman"/>
                    <w:sz w:val="32"/>
                    <w:szCs w:val="32"/>
                    <w:lang w:eastAsia="zh-CN"/>
                  </w:rPr>
                  <w:instrText xml:space="preserve"> PAGE  \* MERGEFORMAT </w:instrText>
                </w:r>
                <w:r>
                  <w:rPr>
                    <w:rFonts w:ascii="Times New Roman" w:hAnsi="Times New Roman" w:cs="Times New Roman"/>
                    <w:sz w:val="32"/>
                    <w:szCs w:val="32"/>
                    <w:lang w:eastAsia="zh-CN"/>
                  </w:rPr>
                  <w:fldChar w:fldCharType="separate"/>
                </w:r>
                <w:r>
                  <w:rPr>
                    <w:rFonts w:ascii="Times New Roman" w:hAnsi="Times New Roman" w:cs="Times New Roman"/>
                    <w:sz w:val="32"/>
                    <w:szCs w:val="32"/>
                    <w:lang w:eastAsia="zh-CN"/>
                  </w:rPr>
                  <w:t>- 2 -</w:t>
                </w:r>
                <w:r>
                  <w:rPr>
                    <w:rFonts w:ascii="Times New Roman" w:hAnsi="Times New Roman" w:cs="Times New Roman"/>
                    <w:sz w:val="32"/>
                    <w:szCs w:val="32"/>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10"/>
  <w:drawingGridVerticalSpacing w:val="159"/>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YzJjNTljNjczNmE4ODZlYzY4ODBkODZjNzNkNWYifQ=="/>
  </w:docVars>
  <w:rsids>
    <w:rsidRoot w:val="562D5F93"/>
    <w:rsid w:val="0000721D"/>
    <w:rsid w:val="00046FBF"/>
    <w:rsid w:val="000D7812"/>
    <w:rsid w:val="00250EF8"/>
    <w:rsid w:val="002D6992"/>
    <w:rsid w:val="002F7B53"/>
    <w:rsid w:val="00356DAE"/>
    <w:rsid w:val="003A6A8C"/>
    <w:rsid w:val="003E43AD"/>
    <w:rsid w:val="005B030B"/>
    <w:rsid w:val="005F5E51"/>
    <w:rsid w:val="00721086"/>
    <w:rsid w:val="00746C79"/>
    <w:rsid w:val="00867F85"/>
    <w:rsid w:val="008E2DDA"/>
    <w:rsid w:val="00A75D62"/>
    <w:rsid w:val="00AA47F2"/>
    <w:rsid w:val="00B03157"/>
    <w:rsid w:val="00BE13A1"/>
    <w:rsid w:val="00CF55C0"/>
    <w:rsid w:val="00D06A68"/>
    <w:rsid w:val="00E26858"/>
    <w:rsid w:val="00EA251C"/>
    <w:rsid w:val="00EE54C3"/>
    <w:rsid w:val="00F348F1"/>
    <w:rsid w:val="00F83DF8"/>
    <w:rsid w:val="00F94CEA"/>
    <w:rsid w:val="0B1737BC"/>
    <w:rsid w:val="0D8550CF"/>
    <w:rsid w:val="0F72632C"/>
    <w:rsid w:val="234F13A0"/>
    <w:rsid w:val="53263A35"/>
    <w:rsid w:val="547C612E"/>
    <w:rsid w:val="562D5F93"/>
    <w:rsid w:val="57974FB7"/>
    <w:rsid w:val="60D367EE"/>
    <w:rsid w:val="6F1C1A59"/>
    <w:rsid w:val="755432D0"/>
    <w:rsid w:val="7D0E1873"/>
    <w:rsid w:val="7F0A2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heme="majorHAnsi" w:hAnsiTheme="majorHAnsi" w:eastAsiaTheme="majorEastAsia" w:cstheme="majorBidi"/>
      <w:sz w:val="22"/>
      <w:szCs w:val="22"/>
      <w:lang w:val="en-US" w:eastAsia="en-US" w:bidi="en-US"/>
    </w:rPr>
  </w:style>
  <w:style w:type="paragraph" w:styleId="3">
    <w:name w:val="heading 2"/>
    <w:basedOn w:val="1"/>
    <w:next w:val="1"/>
    <w:unhideWhenUsed/>
    <w:qFormat/>
    <w:uiPriority w:val="0"/>
    <w:pPr>
      <w:keepNext/>
      <w:keepLines/>
      <w:spacing w:afterLines="50" w:line="360" w:lineRule="auto"/>
      <w:outlineLvl w:val="1"/>
    </w:pPr>
    <w:rPr>
      <w:rFonts w:ascii="Cambria" w:hAnsi="Cambria" w:eastAsia="宋体" w:cs="Times New Roman"/>
      <w:b/>
      <w:bCs/>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宋体" w:hAnsi="宋体"/>
      <w:sz w:val="28"/>
    </w:rPr>
  </w:style>
  <w:style w:type="paragraph" w:styleId="4">
    <w:name w:val="footer"/>
    <w:basedOn w:val="1"/>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customStyle="1" w:styleId="8">
    <w:name w:val="正文文本1"/>
    <w:basedOn w:val="1"/>
    <w:qFormat/>
    <w:uiPriority w:val="0"/>
    <w:pPr>
      <w:widowControl w:val="0"/>
      <w:shd w:val="clear" w:color="auto" w:fill="FFFFFF"/>
      <w:spacing w:line="566" w:lineRule="exact"/>
    </w:pPr>
    <w:rPr>
      <w:rFonts w:ascii="MingLiU" w:hAnsi="MingLiU" w:eastAsia="MingLiU" w:cs="MingLiU"/>
      <w:spacing w:val="30"/>
      <w:sz w:val="27"/>
      <w:szCs w:val="27"/>
    </w:rPr>
  </w:style>
  <w:style w:type="character" w:customStyle="1" w:styleId="9">
    <w:name w:val="font91"/>
    <w:basedOn w:val="7"/>
    <w:qFormat/>
    <w:uiPriority w:val="0"/>
    <w:rPr>
      <w:rFonts w:hint="eastAsia" w:ascii="方正仿宋_GBK" w:hAnsi="方正仿宋_GBK" w:eastAsia="方正仿宋_GBK" w:cs="方正仿宋_GBK"/>
      <w:color w:val="000000"/>
      <w:sz w:val="22"/>
      <w:szCs w:val="22"/>
      <w:u w:val="none"/>
    </w:rPr>
  </w:style>
  <w:style w:type="paragraph" w:customStyle="1" w:styleId="10">
    <w:name w:val="Body text|1"/>
    <w:basedOn w:val="1"/>
    <w:qFormat/>
    <w:uiPriority w:val="0"/>
    <w:pPr>
      <w:spacing w:line="437"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玉溪市峨山县党政机关单位</Company>
  <Pages>5</Pages>
  <Words>364</Words>
  <Characters>2079</Characters>
  <Lines>17</Lines>
  <Paragraphs>4</Paragraphs>
  <TotalTime>4</TotalTime>
  <ScaleCrop>false</ScaleCrop>
  <LinksUpToDate>false</LinksUpToDate>
  <CharactersWithSpaces>2439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2020-09-11T01:50:00Z</dcterms:created>
  <dc:creator>史云萍</dc:creator>
  <cp:lastModifiedBy>Administrator</cp:lastModifiedBy>
  <dcterms:modified xsi:type="dcterms:W3CDTF">2024-08-29T03:01:49Z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EF21053820734E728EB5C07C2663173C</vt:lpwstr>
  </property>
</Properties>
</file>