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年峨山</w:t>
      </w:r>
      <w:r>
        <w:rPr>
          <w:rFonts w:hint="eastAsia" w:ascii="方正小标宋简体" w:hAnsi="方正小标宋简体" w:eastAsia="方正小标宋简体" w:cs="方正小标宋简体"/>
          <w:sz w:val="44"/>
          <w:szCs w:val="44"/>
          <w:lang w:val="en-US" w:eastAsia="zh-CN"/>
        </w:rPr>
        <w:t>彝族自治</w:t>
      </w:r>
      <w:r>
        <w:rPr>
          <w:rFonts w:hint="eastAsia" w:ascii="方正小标宋简体" w:hAnsi="方正小标宋简体" w:eastAsia="方正小标宋简体" w:cs="方正小标宋简体"/>
          <w:sz w:val="44"/>
          <w:szCs w:val="44"/>
        </w:rPr>
        <w:t>县“三公”经费决算</w:t>
      </w:r>
    </w:p>
    <w:p>
      <w:pPr>
        <w:spacing w:line="600" w:lineRule="exact"/>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情况说明</w:t>
      </w:r>
    </w:p>
    <w:p>
      <w:pPr>
        <w:spacing w:line="600" w:lineRule="exact"/>
        <w:ind w:firstLine="600" w:firstLineChars="200"/>
        <w:rPr>
          <w:rFonts w:ascii="Times New Roman" w:hAnsi="Times New Roman" w:eastAsia="仿宋_GB2312"/>
          <w:sz w:val="30"/>
          <w:szCs w:val="30"/>
        </w:rPr>
      </w:pP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根据国务院关于推进政府预算信息公开的决策部署和峨山县政府工作安排，经峨山县财政局汇总，峨山县人民政府审定，现将62个部门，其中县级行政事业部门54个，乡镇（街道）8个（纳入预算管理的全县行政事业部门使用一般公共预算财政拨款安排“三公”经费单位），2023年度“三公”经费决算情况如下：</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一、“三公”经费财政拨款支出决算与年初预算对比情况</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2023年度峨山县一般公共预算财政拨款“三公”经费支出预算汇总数为</w:t>
      </w:r>
      <w:r>
        <w:rPr>
          <w:rFonts w:hint="eastAsia" w:ascii="Times New Roman" w:hAnsi="Times New Roman" w:eastAsia="方正仿宋_GBK" w:cs="Times New Roman"/>
          <w:color w:val="000000"/>
          <w:sz w:val="32"/>
          <w:szCs w:val="32"/>
          <w:lang w:val="en-US" w:eastAsia="zh-CN"/>
        </w:rPr>
        <w:t>635.89</w:t>
      </w:r>
      <w:r>
        <w:rPr>
          <w:rFonts w:hint="eastAsia" w:ascii="Times New Roman" w:hAnsi="Times New Roman" w:eastAsia="方正仿宋_GBK" w:cs="Times New Roman"/>
          <w:kern w:val="44"/>
          <w:sz w:val="32"/>
          <w:szCs w:val="32"/>
          <w:lang w:val="en-US" w:eastAsia="zh-CN" w:bidi="ar"/>
        </w:rPr>
        <w:t>万元，支出决算汇总数为</w:t>
      </w:r>
      <w:r>
        <w:rPr>
          <w:rFonts w:hint="eastAsia" w:ascii="Times New Roman" w:hAnsi="Times New Roman" w:eastAsia="方正仿宋_GBK" w:cs="Times New Roman"/>
          <w:color w:val="auto"/>
          <w:sz w:val="32"/>
          <w:szCs w:val="32"/>
          <w:lang w:val="en-US" w:eastAsia="zh-CN"/>
        </w:rPr>
        <w:t>478.42</w:t>
      </w:r>
      <w:r>
        <w:rPr>
          <w:rFonts w:hint="eastAsia" w:ascii="Times New Roman" w:hAnsi="Times New Roman" w:eastAsia="方正仿宋_GBK" w:cs="Times New Roman"/>
          <w:kern w:val="44"/>
          <w:sz w:val="32"/>
          <w:szCs w:val="32"/>
          <w:lang w:val="en-US" w:eastAsia="zh-CN" w:bidi="ar"/>
        </w:rPr>
        <w:t>万元，较年初预算汇总数减少157.47万元，下降24.76%。其中：因公出国（境）费年初预算数为0.00万元，决算数为0.00万元，增长0.00%；公务接待费年初预算数为174.99万元，决算数为</w:t>
      </w:r>
      <w:r>
        <w:rPr>
          <w:rFonts w:hint="eastAsia" w:ascii="Times New Roman" w:hAnsi="Times New Roman" w:eastAsia="方正仿宋_GBK" w:cs="Times New Roman"/>
          <w:color w:val="auto"/>
          <w:sz w:val="32"/>
          <w:szCs w:val="32"/>
          <w:lang w:val="en-US" w:eastAsia="zh-CN"/>
        </w:rPr>
        <w:t>72.59</w:t>
      </w:r>
      <w:r>
        <w:rPr>
          <w:rFonts w:hint="eastAsia" w:ascii="Times New Roman" w:hAnsi="Times New Roman" w:eastAsia="方正仿宋_GBK" w:cs="Times New Roman"/>
          <w:kern w:val="44"/>
          <w:sz w:val="32"/>
          <w:szCs w:val="32"/>
          <w:lang w:val="en-US" w:eastAsia="zh-CN" w:bidi="ar"/>
        </w:rPr>
        <w:t>万元，较年初预算数减少102.40万元，下降58.52%；公务用车购置及运行维护费年初预算数为460.90万元，决算数为</w:t>
      </w:r>
      <w:r>
        <w:rPr>
          <w:rFonts w:hint="eastAsia" w:ascii="Times New Roman" w:hAnsi="Times New Roman" w:eastAsia="方正仿宋_GBK" w:cs="Times New Roman"/>
          <w:color w:val="auto"/>
          <w:sz w:val="32"/>
          <w:szCs w:val="32"/>
          <w:lang w:val="en-US" w:eastAsia="zh-CN"/>
        </w:rPr>
        <w:t>405.83</w:t>
      </w:r>
      <w:r>
        <w:rPr>
          <w:rFonts w:hint="eastAsia" w:ascii="Times New Roman" w:hAnsi="Times New Roman" w:eastAsia="方正仿宋_GBK" w:cs="Times New Roman"/>
          <w:kern w:val="44"/>
          <w:sz w:val="32"/>
          <w:szCs w:val="32"/>
          <w:lang w:val="en-US" w:eastAsia="zh-CN" w:bidi="ar"/>
        </w:rPr>
        <w:t>万元，较年初预算数减少55.07万元，下降11.95%；（其中：公务用车购置费年初预算数为</w:t>
      </w:r>
      <w:r>
        <w:rPr>
          <w:rFonts w:hint="eastAsia" w:ascii="Times New Roman" w:hAnsi="Times New Roman" w:eastAsia="方正仿宋_GBK" w:cs="Times New Roman"/>
          <w:kern w:val="44"/>
          <w:sz w:val="32"/>
          <w:szCs w:val="32"/>
          <w:highlight w:val="none"/>
          <w:lang w:val="en-US" w:eastAsia="zh-CN" w:bidi="ar"/>
        </w:rPr>
        <w:t>0.00</w:t>
      </w:r>
      <w:r>
        <w:rPr>
          <w:rFonts w:hint="eastAsia" w:ascii="Times New Roman" w:hAnsi="Times New Roman" w:eastAsia="方正仿宋_GBK" w:cs="Times New Roman"/>
          <w:kern w:val="44"/>
          <w:sz w:val="32"/>
          <w:szCs w:val="32"/>
          <w:lang w:val="en-US" w:eastAsia="zh-CN" w:bidi="ar"/>
        </w:rPr>
        <w:t>万元，决算数为57.63万元，较年初预算数增加57.63万元，增长100.00%；公务用车运行维护费年初预算数为</w:t>
      </w:r>
      <w:r>
        <w:rPr>
          <w:rFonts w:hint="eastAsia" w:ascii="Times New Roman" w:hAnsi="Times New Roman" w:eastAsia="方正仿宋_GBK" w:cs="Times New Roman"/>
          <w:kern w:val="44"/>
          <w:sz w:val="32"/>
          <w:szCs w:val="32"/>
          <w:highlight w:val="none"/>
          <w:lang w:val="en-US" w:eastAsia="zh-CN" w:bidi="ar"/>
        </w:rPr>
        <w:t>460.90</w:t>
      </w:r>
      <w:r>
        <w:rPr>
          <w:rFonts w:hint="eastAsia" w:ascii="Times New Roman" w:hAnsi="Times New Roman" w:eastAsia="方正仿宋_GBK" w:cs="Times New Roman"/>
          <w:kern w:val="44"/>
          <w:sz w:val="32"/>
          <w:szCs w:val="32"/>
          <w:lang w:val="en-US" w:eastAsia="zh-CN" w:bidi="ar"/>
        </w:rPr>
        <w:t>万元，决算数为348.20万元，较年初预算数减少</w:t>
      </w:r>
      <w:r>
        <w:rPr>
          <w:rFonts w:hint="eastAsia" w:ascii="Times New Roman" w:hAnsi="Times New Roman" w:eastAsia="方正仿宋_GBK" w:cs="Times New Roman"/>
          <w:kern w:val="44"/>
          <w:sz w:val="32"/>
          <w:szCs w:val="32"/>
          <w:highlight w:val="none"/>
          <w:lang w:val="en-US" w:eastAsia="zh-CN" w:bidi="ar"/>
        </w:rPr>
        <w:t>112.70</w:t>
      </w:r>
      <w:r>
        <w:rPr>
          <w:rFonts w:hint="eastAsia" w:ascii="Times New Roman" w:hAnsi="Times New Roman" w:eastAsia="方正仿宋_GBK" w:cs="Times New Roman"/>
          <w:kern w:val="44"/>
          <w:sz w:val="32"/>
          <w:szCs w:val="32"/>
          <w:lang w:val="en-US" w:eastAsia="zh-CN" w:bidi="ar"/>
        </w:rPr>
        <w:t>万元，下降</w:t>
      </w:r>
      <w:r>
        <w:rPr>
          <w:rFonts w:hint="eastAsia" w:ascii="Times New Roman" w:hAnsi="Times New Roman" w:eastAsia="方正仿宋_GBK" w:cs="Times New Roman"/>
          <w:kern w:val="44"/>
          <w:sz w:val="32"/>
          <w:szCs w:val="32"/>
          <w:highlight w:val="none"/>
          <w:lang w:val="en-US" w:eastAsia="zh-CN" w:bidi="ar"/>
        </w:rPr>
        <w:t>24.45</w:t>
      </w:r>
      <w:r>
        <w:rPr>
          <w:rFonts w:hint="eastAsia" w:ascii="Times New Roman" w:hAnsi="Times New Roman" w:eastAsia="方正仿宋_GBK" w:cs="Times New Roman"/>
          <w:kern w:val="44"/>
          <w:sz w:val="32"/>
          <w:szCs w:val="32"/>
          <w:lang w:val="en-US" w:eastAsia="zh-CN" w:bidi="ar"/>
        </w:rPr>
        <w:t>%；）</w:t>
      </w:r>
    </w:p>
    <w:p>
      <w:pPr>
        <w:spacing w:line="540" w:lineRule="exact"/>
        <w:ind w:firstLine="640" w:firstLineChars="200"/>
        <w:rPr>
          <w:rFonts w:hint="default"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二、“三公”经费财政拨款支出决算与上年决算数对比情况</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2023年度峨山县一般公共预算财政拨款“三公”经费支出决算汇总数为</w:t>
      </w:r>
      <w:r>
        <w:rPr>
          <w:rFonts w:hint="eastAsia" w:ascii="Times New Roman" w:hAnsi="Times New Roman" w:eastAsia="方正仿宋_GBK" w:cs="Times New Roman"/>
          <w:color w:val="auto"/>
          <w:sz w:val="32"/>
          <w:szCs w:val="32"/>
          <w:lang w:val="en-US" w:eastAsia="zh-CN"/>
        </w:rPr>
        <w:t>478.42</w:t>
      </w:r>
      <w:r>
        <w:rPr>
          <w:rFonts w:hint="eastAsia" w:ascii="Times New Roman" w:hAnsi="Times New Roman" w:eastAsia="方正仿宋_GBK" w:cs="Times New Roman"/>
          <w:kern w:val="44"/>
          <w:sz w:val="32"/>
          <w:szCs w:val="32"/>
          <w:lang w:val="en-US" w:eastAsia="zh-CN" w:bidi="ar"/>
        </w:rPr>
        <w:t>万元，较上年减少53.56万元，</w:t>
      </w:r>
      <w:r>
        <w:rPr>
          <w:rFonts w:hint="eastAsia" w:ascii="Times New Roman" w:hAnsi="Times New Roman" w:eastAsia="方正仿宋_GBK" w:cs="Times New Roman"/>
          <w:color w:val="auto"/>
          <w:sz w:val="32"/>
          <w:szCs w:val="32"/>
          <w:lang w:val="en-US" w:eastAsia="zh-CN"/>
        </w:rPr>
        <w:t>下降10.0</w:t>
      </w: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kern w:val="44"/>
          <w:sz w:val="32"/>
          <w:szCs w:val="32"/>
          <w:lang w:val="en-US" w:eastAsia="zh-CN" w:bidi="ar"/>
        </w:rPr>
        <w:t>。其中：因公出国（境）费为0.00万元，较上年增加0.00万元，增长0.00%，共计安排因公出国（境）团组0个，因公出国（境）0人次。公务接待费为</w:t>
      </w:r>
      <w:r>
        <w:rPr>
          <w:rFonts w:hint="eastAsia" w:ascii="Times New Roman" w:hAnsi="Times New Roman" w:eastAsia="方正仿宋_GBK" w:cs="Times New Roman"/>
          <w:color w:val="auto"/>
          <w:sz w:val="32"/>
          <w:szCs w:val="32"/>
          <w:lang w:val="en-US" w:eastAsia="zh-CN"/>
        </w:rPr>
        <w:t>72.59</w:t>
      </w:r>
      <w:r>
        <w:rPr>
          <w:rFonts w:hint="eastAsia" w:ascii="Times New Roman" w:hAnsi="Times New Roman" w:eastAsia="方正仿宋_GBK" w:cs="Times New Roman"/>
          <w:kern w:val="44"/>
          <w:sz w:val="32"/>
          <w:szCs w:val="32"/>
          <w:lang w:val="en-US" w:eastAsia="zh-CN" w:bidi="ar"/>
        </w:rPr>
        <w:t>万元，较上年减少</w:t>
      </w:r>
      <w:r>
        <w:rPr>
          <w:rFonts w:hint="eastAsia" w:ascii="Times New Roman" w:hAnsi="Times New Roman" w:eastAsia="方正仿宋_GBK" w:cs="Times New Roman"/>
          <w:color w:val="auto"/>
          <w:sz w:val="32"/>
          <w:szCs w:val="32"/>
          <w:lang w:val="en-US" w:eastAsia="zh-CN"/>
        </w:rPr>
        <w:t>43.89</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37.68</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kern w:val="44"/>
          <w:sz w:val="32"/>
          <w:szCs w:val="32"/>
          <w:lang w:val="en-US" w:eastAsia="zh-CN" w:bidi="ar"/>
        </w:rPr>
        <w:t>，国内公务接待批次为1,390次，共计接待10,191人次。公务用车购置及运行维护费为</w:t>
      </w:r>
      <w:r>
        <w:rPr>
          <w:rFonts w:hint="eastAsia" w:ascii="Times New Roman" w:hAnsi="Times New Roman" w:eastAsia="方正仿宋_GBK" w:cs="Times New Roman"/>
          <w:color w:val="auto"/>
          <w:sz w:val="32"/>
          <w:szCs w:val="32"/>
          <w:lang w:val="en-US" w:eastAsia="zh-CN"/>
        </w:rPr>
        <w:t>405.83</w:t>
      </w:r>
      <w:r>
        <w:rPr>
          <w:rFonts w:hint="eastAsia" w:ascii="Times New Roman" w:hAnsi="Times New Roman" w:eastAsia="方正仿宋_GBK" w:cs="Times New Roman"/>
          <w:kern w:val="44"/>
          <w:sz w:val="32"/>
          <w:szCs w:val="32"/>
          <w:lang w:val="en-US" w:eastAsia="zh-CN" w:bidi="ar"/>
        </w:rPr>
        <w:t>万元，较上年减少</w:t>
      </w:r>
      <w:r>
        <w:rPr>
          <w:rFonts w:hint="eastAsia" w:ascii="Times New Roman" w:hAnsi="Times New Roman" w:eastAsia="方正仿宋_GBK" w:cs="Times New Roman"/>
          <w:color w:val="auto"/>
          <w:sz w:val="32"/>
          <w:szCs w:val="32"/>
          <w:lang w:val="en-US" w:eastAsia="zh-CN"/>
        </w:rPr>
        <w:t>9.67</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下降2.33</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kern w:val="44"/>
          <w:sz w:val="32"/>
          <w:szCs w:val="32"/>
          <w:lang w:val="en-US" w:eastAsia="zh-CN" w:bidi="ar"/>
        </w:rPr>
        <w:t>（其中：公务用车购置费60.11万元，较上年下降2.48万元，下降4.13%；公务用车运行维护费355.39万元，较上年下降7.19万元，下降</w:t>
      </w:r>
      <w:r>
        <w:rPr>
          <w:rFonts w:hint="eastAsia"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kern w:val="44"/>
          <w:sz w:val="32"/>
          <w:szCs w:val="32"/>
          <w:lang w:val="en-US" w:eastAsia="zh-CN" w:bidi="ar"/>
        </w:rPr>
        <w:t>%。共计购置公务用车</w:t>
      </w:r>
      <w:r>
        <w:rPr>
          <w:rFonts w:hint="eastAsia" w:ascii="Times New Roman" w:hAnsi="Times New Roman" w:eastAsia="方正仿宋_GBK" w:cs="Times New Roman"/>
          <w:kern w:val="44"/>
          <w:sz w:val="32"/>
          <w:szCs w:val="32"/>
          <w:highlight w:val="none"/>
          <w:lang w:val="en-US" w:eastAsia="zh-CN" w:bidi="ar"/>
        </w:rPr>
        <w:t>3</w:t>
      </w:r>
      <w:r>
        <w:rPr>
          <w:rFonts w:hint="eastAsia" w:ascii="Times New Roman" w:hAnsi="Times New Roman" w:eastAsia="方正仿宋_GBK" w:cs="Times New Roman"/>
          <w:kern w:val="44"/>
          <w:sz w:val="32"/>
          <w:szCs w:val="32"/>
          <w:lang w:val="en-US" w:eastAsia="zh-CN" w:bidi="ar"/>
        </w:rPr>
        <w:t>辆，年末公务用车保有量为214辆。</w:t>
      </w:r>
      <w:bookmarkStart w:id="0" w:name="_GoBack"/>
      <w:bookmarkEnd w:id="0"/>
    </w:p>
    <w:p>
      <w:pPr>
        <w:spacing w:line="540" w:lineRule="exact"/>
        <w:ind w:firstLine="640" w:firstLineChars="200"/>
        <w:rPr>
          <w:rFonts w:hint="eastAsia" w:ascii="Times New Roman" w:hAnsi="Times New Roman" w:eastAsia="方正仿宋_GBK" w:cs="Times New Roman"/>
          <w:color w:val="000000"/>
          <w:sz w:val="32"/>
          <w:szCs w:val="32"/>
          <w:highlight w:val="none"/>
          <w:lang w:eastAsia="zh-CN"/>
        </w:rPr>
      </w:pPr>
      <w:r>
        <w:rPr>
          <w:rFonts w:hint="eastAsia" w:ascii="Times New Roman" w:hAnsi="Times New Roman" w:eastAsia="方正仿宋_GBK" w:cs="Times New Roman"/>
          <w:kern w:val="44"/>
          <w:sz w:val="32"/>
          <w:szCs w:val="32"/>
          <w:highlight w:val="none"/>
          <w:lang w:val="en-US" w:eastAsia="zh-CN" w:bidi="ar"/>
        </w:rPr>
        <w:t>2023年度“三公”经费支出决算下降的主要原因是</w:t>
      </w:r>
      <w:r>
        <w:rPr>
          <w:rFonts w:hint="eastAsia" w:ascii="Times New Roman" w:hAnsi="Times New Roman" w:eastAsia="方正仿宋_GBK" w:cs="Times New Roman"/>
          <w:color w:val="000000"/>
          <w:sz w:val="32"/>
          <w:szCs w:val="32"/>
          <w:highlight w:val="none"/>
          <w:lang w:val="en-US" w:eastAsia="zh-CN"/>
        </w:rPr>
        <w:t>部分2021</w:t>
      </w:r>
      <w:r>
        <w:rPr>
          <w:rFonts w:hint="default" w:ascii="Times New Roman" w:hAnsi="Times New Roman" w:eastAsia="方正仿宋_GBK" w:cs="Times New Roman"/>
          <w:color w:val="000000"/>
          <w:sz w:val="32"/>
          <w:szCs w:val="32"/>
          <w:highlight w:val="none"/>
        </w:rPr>
        <w:t>“三公”经费</w:t>
      </w:r>
      <w:r>
        <w:rPr>
          <w:rFonts w:hint="eastAsia" w:ascii="Times New Roman" w:hAnsi="Times New Roman" w:eastAsia="方正仿宋_GBK" w:cs="Times New Roman"/>
          <w:color w:val="000000"/>
          <w:sz w:val="32"/>
          <w:szCs w:val="32"/>
          <w:highlight w:val="none"/>
          <w:lang w:val="en-US" w:eastAsia="zh-CN"/>
        </w:rPr>
        <w:t>在2022年报销，2022年数据较正常年度偏大</w:t>
      </w:r>
      <w:r>
        <w:rPr>
          <w:rFonts w:hint="eastAsia" w:ascii="Times New Roman" w:hAnsi="Times New Roman" w:eastAsia="方正仿宋_GBK" w:cs="Times New Roman"/>
          <w:color w:val="000000"/>
          <w:sz w:val="32"/>
          <w:szCs w:val="32"/>
          <w:highlight w:val="none"/>
          <w:lang w:eastAsia="zh-CN"/>
        </w:rPr>
        <w:t>。</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二、“三公”经费财政拨款支出决算具体情况</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2023年度峨山县“三公”经费财政拨款支出决算中，因公出国（境）费支出0.00万元，占0.00%；公务用车购置及运行维护费支出</w:t>
      </w:r>
      <w:r>
        <w:rPr>
          <w:rFonts w:hint="eastAsia" w:ascii="Times New Roman" w:hAnsi="Times New Roman" w:eastAsia="方正仿宋_GBK" w:cs="Times New Roman"/>
          <w:color w:val="auto"/>
          <w:sz w:val="32"/>
          <w:szCs w:val="32"/>
          <w:lang w:val="en-US" w:eastAsia="zh-CN"/>
        </w:rPr>
        <w:t>405.83</w:t>
      </w:r>
      <w:r>
        <w:rPr>
          <w:rFonts w:hint="eastAsia" w:ascii="Times New Roman" w:hAnsi="Times New Roman" w:eastAsia="方正仿宋_GBK" w:cs="Times New Roman"/>
          <w:kern w:val="44"/>
          <w:sz w:val="32"/>
          <w:szCs w:val="32"/>
          <w:lang w:val="en-US" w:eastAsia="zh-CN" w:bidi="ar"/>
        </w:rPr>
        <w:t>万元，占84.83%；公务接待费支出</w:t>
      </w:r>
      <w:r>
        <w:rPr>
          <w:rFonts w:hint="eastAsia" w:ascii="Times New Roman" w:hAnsi="Times New Roman" w:eastAsia="方正仿宋_GBK" w:cs="Times New Roman"/>
          <w:color w:val="auto"/>
          <w:sz w:val="32"/>
          <w:szCs w:val="32"/>
          <w:lang w:val="en-US" w:eastAsia="zh-CN"/>
        </w:rPr>
        <w:t>72.59</w:t>
      </w:r>
      <w:r>
        <w:rPr>
          <w:rFonts w:hint="eastAsia" w:ascii="Times New Roman" w:hAnsi="Times New Roman" w:eastAsia="方正仿宋_GBK" w:cs="Times New Roman"/>
          <w:kern w:val="44"/>
          <w:sz w:val="32"/>
          <w:szCs w:val="32"/>
          <w:lang w:val="en-US" w:eastAsia="zh-CN" w:bidi="ar"/>
        </w:rPr>
        <w:t>万元，占15.17%。具体情况如下：</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（一）因公出国（境）费支出0.00万元。全年安排因公出国（境）团组0个，累计0人次。</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（二）公务用车购置及运行维护费支出</w:t>
      </w:r>
      <w:r>
        <w:rPr>
          <w:rFonts w:hint="eastAsia" w:ascii="Times New Roman" w:hAnsi="Times New Roman" w:eastAsia="方正仿宋_GBK" w:cs="Times New Roman"/>
          <w:color w:val="auto"/>
          <w:sz w:val="32"/>
          <w:szCs w:val="32"/>
          <w:lang w:val="en-US" w:eastAsia="zh-CN"/>
        </w:rPr>
        <w:t>405.83</w:t>
      </w:r>
      <w:r>
        <w:rPr>
          <w:rFonts w:hint="eastAsia" w:ascii="Times New Roman" w:hAnsi="Times New Roman" w:eastAsia="方正仿宋_GBK" w:cs="Times New Roman"/>
          <w:kern w:val="44"/>
          <w:sz w:val="32"/>
          <w:szCs w:val="32"/>
          <w:lang w:val="en-US" w:eastAsia="zh-CN" w:bidi="ar"/>
        </w:rPr>
        <w:t>万元。其中：公务用车购置费57.63万元；公务用车运行维护费348.20万元，主要用于车辆燃料费、维修费、过路过桥费、保险费等。2023年度峨山县财政拨款的公务用车保有量为214辆。</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（三）公务接待费支出72.59万元。其中：国内接待费</w:t>
      </w:r>
      <w:r>
        <w:rPr>
          <w:rFonts w:hint="eastAsia" w:ascii="Times New Roman" w:hAnsi="Times New Roman" w:eastAsia="方正仿宋_GBK" w:cs="Times New Roman"/>
          <w:color w:val="auto"/>
          <w:sz w:val="32"/>
          <w:szCs w:val="32"/>
          <w:lang w:val="en-US" w:eastAsia="zh-CN"/>
        </w:rPr>
        <w:t>72.59</w:t>
      </w:r>
      <w:r>
        <w:rPr>
          <w:rFonts w:hint="eastAsia" w:ascii="Times New Roman" w:hAnsi="Times New Roman" w:eastAsia="方正仿宋_GBK" w:cs="Times New Roman"/>
          <w:kern w:val="44"/>
          <w:sz w:val="32"/>
          <w:szCs w:val="32"/>
          <w:lang w:val="en-US" w:eastAsia="zh-CN" w:bidi="ar"/>
        </w:rPr>
        <w:t>万元，国（境）外接待费0.00万元。国内接待费中，外事接待费0.00万元。国内接待费主要为各部门相关工作范围内发生的接待支出。峨山县2023年共接待国内来访团组1,390个，来宾10,191人次。</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p>
    <w:p>
      <w:pPr>
        <w:spacing w:line="540" w:lineRule="exact"/>
        <w:ind w:left="960" w:hanging="960" w:hangingChars="3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附件：1.2023年峨山县“三公”经费决算数与年初预算数对比情况表</w:t>
      </w:r>
    </w:p>
    <w:p>
      <w:pPr>
        <w:spacing w:line="540" w:lineRule="exact"/>
        <w:ind w:left="958" w:leftChars="456" w:firstLine="0" w:firstLineChars="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2.2023年峨山县“三公”经费决算数与上年数对比情况表</w:t>
      </w:r>
    </w:p>
    <w:p>
      <w:pPr>
        <w:spacing w:line="540" w:lineRule="exact"/>
        <w:ind w:firstLine="960" w:firstLineChars="3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3.“三公”经费口径说明</w:t>
      </w: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jc w:val="center"/>
        <w:rPr>
          <w:rFonts w:ascii="黑体" w:hAnsi="黑体" w:eastAsia="黑体" w:cs="黑体"/>
          <w:bCs/>
          <w:sz w:val="32"/>
          <w:szCs w:val="32"/>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lang w:eastAsia="zh-CN"/>
        </w:rPr>
        <w:t>202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年峨山县 “三公”经费决算数</w:t>
      </w:r>
      <w:r>
        <w:rPr>
          <w:rFonts w:hint="eastAsia" w:ascii="黑体" w:hAnsi="黑体" w:eastAsia="黑体" w:cs="黑体"/>
          <w:bCs/>
          <w:sz w:val="32"/>
          <w:szCs w:val="32"/>
          <w:lang w:val="en-US" w:eastAsia="zh-CN"/>
        </w:rPr>
        <w:t>与年初预算数</w:t>
      </w:r>
      <w:r>
        <w:rPr>
          <w:rFonts w:hint="eastAsia" w:ascii="黑体" w:hAnsi="黑体" w:eastAsia="黑体" w:cs="黑体"/>
          <w:bCs/>
          <w:sz w:val="32"/>
          <w:szCs w:val="32"/>
        </w:rPr>
        <w:t>对比情况表</w:t>
      </w:r>
    </w:p>
    <w:tbl>
      <w:tblPr>
        <w:tblStyle w:val="4"/>
        <w:tblW w:w="8160" w:type="dxa"/>
        <w:tblInd w:w="93" w:type="dxa"/>
        <w:tblLayout w:type="fixed"/>
        <w:tblCellMar>
          <w:top w:w="0" w:type="dxa"/>
          <w:left w:w="108" w:type="dxa"/>
          <w:bottom w:w="0" w:type="dxa"/>
          <w:right w:w="108" w:type="dxa"/>
        </w:tblCellMar>
      </w:tblPr>
      <w:tblGrid>
        <w:gridCol w:w="3216"/>
        <w:gridCol w:w="984"/>
        <w:gridCol w:w="1320"/>
        <w:gridCol w:w="1320"/>
        <w:gridCol w:w="1320"/>
      </w:tblGrid>
      <w:tr>
        <w:tblPrEx>
          <w:tblCellMar>
            <w:top w:w="0" w:type="dxa"/>
            <w:left w:w="108" w:type="dxa"/>
            <w:bottom w:w="0" w:type="dxa"/>
            <w:right w:w="108" w:type="dxa"/>
          </w:tblCellMar>
        </w:tblPrEx>
        <w:trPr>
          <w:trHeight w:val="450" w:hRule="atLeast"/>
        </w:trPr>
        <w:tc>
          <w:tcPr>
            <w:tcW w:w="32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98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615" w:hRule="atLeast"/>
        </w:trPr>
        <w:tc>
          <w:tcPr>
            <w:tcW w:w="3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年初预算数</w:t>
            </w:r>
          </w:p>
        </w:tc>
        <w:tc>
          <w:tcPr>
            <w:tcW w:w="1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本年</w:t>
            </w:r>
          </w:p>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较</w:t>
            </w:r>
            <w:r>
              <w:rPr>
                <w:rFonts w:hint="eastAsia" w:ascii="宋体" w:hAnsi="宋体" w:cs="Arial"/>
                <w:color w:val="000000"/>
                <w:kern w:val="0"/>
                <w:sz w:val="20"/>
                <w:szCs w:val="20"/>
                <w:lang w:val="en-US" w:eastAsia="zh-CN"/>
              </w:rPr>
              <w:t>年初预算数</w:t>
            </w:r>
            <w:r>
              <w:rPr>
                <w:rFonts w:hint="eastAsia" w:ascii="宋体" w:hAnsi="宋体" w:cs="Arial"/>
                <w:color w:val="000000"/>
                <w:kern w:val="0"/>
                <w:sz w:val="20"/>
                <w:szCs w:val="20"/>
              </w:rPr>
              <w:t>增减情况</w:t>
            </w:r>
          </w:p>
        </w:tc>
      </w:tr>
      <w:tr>
        <w:tblPrEx>
          <w:tblCellMar>
            <w:top w:w="0" w:type="dxa"/>
            <w:left w:w="108" w:type="dxa"/>
            <w:bottom w:w="0" w:type="dxa"/>
            <w:right w:w="108" w:type="dxa"/>
          </w:tblCellMar>
        </w:tblPrEx>
        <w:trPr>
          <w:trHeight w:val="450" w:hRule="atLeast"/>
        </w:trPr>
        <w:tc>
          <w:tcPr>
            <w:tcW w:w="32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增、减额</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增、减幅度</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合  计</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635.89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478.42</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157.47</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24.76</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1、因公出国（境）费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2、公务接待费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174.99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72.59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102.40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58.52</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3、公务用车费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460.90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405.83</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55.07</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11.95</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其中：（1）公务用车购置</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57.63</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57.63</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1000.00%</w:t>
            </w:r>
          </w:p>
        </w:tc>
      </w:tr>
      <w:tr>
        <w:tblPrEx>
          <w:tblCellMar>
            <w:top w:w="0" w:type="dxa"/>
            <w:left w:w="108" w:type="dxa"/>
            <w:bottom w:w="0" w:type="dxa"/>
            <w:right w:w="108" w:type="dxa"/>
          </w:tblCellMar>
        </w:tblPrEx>
        <w:trPr>
          <w:trHeight w:val="585"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150" w:leftChars="500" w:right="0" w:hanging="100" w:hangingChars="50"/>
              <w:jc w:val="left"/>
              <w:rPr>
                <w:rFonts w:ascii="宋体" w:hAnsi="宋体" w:cs="Arial"/>
                <w:color w:val="000000"/>
                <w:kern w:val="0"/>
                <w:sz w:val="20"/>
                <w:szCs w:val="20"/>
              </w:rPr>
            </w:pPr>
            <w:r>
              <w:rPr>
                <w:rFonts w:hint="eastAsia" w:ascii="宋体" w:hAnsi="宋体" w:cs="Arial"/>
                <w:color w:val="000000"/>
                <w:kern w:val="0"/>
                <w:sz w:val="20"/>
                <w:szCs w:val="20"/>
              </w:rPr>
              <w:t>（2）公务用车运行维护费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46</w:t>
            </w:r>
            <w:r>
              <w:rPr>
                <w:rFonts w:hint="eastAsia" w:ascii="宋体" w:hAnsi="宋体" w:cs="Arial"/>
                <w:color w:val="000000"/>
                <w:kern w:val="0"/>
                <w:sz w:val="20"/>
                <w:szCs w:val="20"/>
                <w:lang w:val="en-US" w:eastAsia="zh-CN"/>
              </w:rPr>
              <w:t>0</w:t>
            </w: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9</w:t>
            </w:r>
            <w:r>
              <w:rPr>
                <w:rFonts w:hint="eastAsia" w:ascii="宋体" w:hAnsi="宋体" w:eastAsia="宋体" w:cs="Arial"/>
                <w:color w:val="000000"/>
                <w:kern w:val="0"/>
                <w:sz w:val="20"/>
                <w:szCs w:val="20"/>
                <w:lang w:val="en-US" w:eastAsia="zh-CN"/>
              </w:rPr>
              <w:t>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348.20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w:t>
            </w:r>
            <w:r>
              <w:rPr>
                <w:rFonts w:hint="eastAsia" w:ascii="宋体" w:hAnsi="宋体" w:cs="Arial"/>
                <w:color w:val="000000"/>
                <w:kern w:val="0"/>
                <w:sz w:val="20"/>
                <w:szCs w:val="20"/>
                <w:lang w:val="en-US" w:eastAsia="zh-CN"/>
              </w:rPr>
              <w:t>112.7</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w:t>
            </w:r>
            <w:r>
              <w:rPr>
                <w:rFonts w:hint="eastAsia" w:ascii="宋体" w:hAnsi="宋体" w:cs="Arial"/>
                <w:color w:val="000000"/>
                <w:kern w:val="0"/>
                <w:sz w:val="20"/>
                <w:szCs w:val="20"/>
                <w:lang w:val="en-US" w:eastAsia="zh-CN"/>
              </w:rPr>
              <w:t>4.45</w:t>
            </w:r>
            <w:r>
              <w:rPr>
                <w:rFonts w:hint="eastAsia" w:ascii="宋体" w:hAnsi="宋体" w:eastAsia="宋体" w:cs="Arial"/>
                <w:color w:val="000000"/>
                <w:kern w:val="0"/>
                <w:sz w:val="20"/>
                <w:szCs w:val="20"/>
                <w:lang w:val="en-US" w:eastAsia="zh-CN"/>
              </w:rPr>
              <w:t>%</w:t>
            </w:r>
          </w:p>
        </w:tc>
      </w:tr>
    </w:tbl>
    <w:p>
      <w:pPr>
        <w:spacing w:line="540" w:lineRule="exact"/>
        <w:rPr>
          <w:rFonts w:hint="eastAsia" w:ascii="仿宋_GB2312" w:eastAsia="仿宋_GB2312"/>
          <w:bCs/>
          <w:sz w:val="30"/>
          <w:szCs w:val="30"/>
          <w:lang w:val="en-US" w:eastAsia="zh-CN"/>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spacing w:line="540" w:lineRule="exact"/>
        <w:ind w:left="1050" w:leftChars="500"/>
        <w:rPr>
          <w:rFonts w:ascii="仿宋_GB2312" w:eastAsia="仿宋_GB2312"/>
          <w:bCs/>
          <w:sz w:val="30"/>
          <w:szCs w:val="30"/>
        </w:rPr>
      </w:pPr>
    </w:p>
    <w:p>
      <w:pPr>
        <w:jc w:val="both"/>
        <w:rPr>
          <w:rFonts w:hint="eastAsia" w:ascii="黑体" w:hAnsi="黑体" w:eastAsia="黑体" w:cs="黑体"/>
          <w:bCs/>
          <w:sz w:val="32"/>
          <w:szCs w:val="32"/>
          <w:lang w:val="en-US" w:eastAsia="zh-CN"/>
        </w:rPr>
      </w:pPr>
    </w:p>
    <w:p>
      <w:pPr>
        <w:jc w:val="both"/>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jc w:val="center"/>
        <w:rPr>
          <w:rFonts w:ascii="黑体" w:hAnsi="黑体" w:eastAsia="黑体" w:cs="黑体"/>
          <w:bCs/>
          <w:sz w:val="32"/>
          <w:szCs w:val="32"/>
        </w:rPr>
      </w:pPr>
      <w:r>
        <w:rPr>
          <w:rFonts w:hint="eastAsia" w:ascii="黑体" w:hAnsi="黑体" w:eastAsia="黑体" w:cs="黑体"/>
          <w:bCs/>
          <w:sz w:val="32"/>
          <w:szCs w:val="32"/>
          <w:lang w:eastAsia="zh-CN"/>
        </w:rPr>
        <w:t>202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年峨山县 “三公”经费决算数对比情况表</w:t>
      </w:r>
    </w:p>
    <w:tbl>
      <w:tblPr>
        <w:tblStyle w:val="4"/>
        <w:tblW w:w="8160" w:type="dxa"/>
        <w:tblInd w:w="93" w:type="dxa"/>
        <w:tblLayout w:type="fixed"/>
        <w:tblCellMar>
          <w:top w:w="0" w:type="dxa"/>
          <w:left w:w="108" w:type="dxa"/>
          <w:bottom w:w="0" w:type="dxa"/>
          <w:right w:w="108" w:type="dxa"/>
        </w:tblCellMar>
      </w:tblPr>
      <w:tblGrid>
        <w:gridCol w:w="3216"/>
        <w:gridCol w:w="984"/>
        <w:gridCol w:w="1320"/>
        <w:gridCol w:w="1320"/>
        <w:gridCol w:w="1320"/>
      </w:tblGrid>
      <w:tr>
        <w:tblPrEx>
          <w:tblCellMar>
            <w:top w:w="0" w:type="dxa"/>
            <w:left w:w="108" w:type="dxa"/>
            <w:bottom w:w="0" w:type="dxa"/>
            <w:right w:w="108" w:type="dxa"/>
          </w:tblCellMar>
        </w:tblPrEx>
        <w:trPr>
          <w:trHeight w:val="450" w:hRule="atLeast"/>
        </w:trPr>
        <w:tc>
          <w:tcPr>
            <w:tcW w:w="321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98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p>
        </w:tc>
        <w:tc>
          <w:tcPr>
            <w:tcW w:w="1320"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615" w:hRule="atLeast"/>
        </w:trPr>
        <w:tc>
          <w:tcPr>
            <w:tcW w:w="32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上年</w:t>
            </w:r>
          </w:p>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13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本年</w:t>
            </w:r>
          </w:p>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较上年增减情况</w:t>
            </w:r>
          </w:p>
        </w:tc>
      </w:tr>
      <w:tr>
        <w:tblPrEx>
          <w:tblCellMar>
            <w:top w:w="0" w:type="dxa"/>
            <w:left w:w="108" w:type="dxa"/>
            <w:bottom w:w="0" w:type="dxa"/>
            <w:right w:w="108" w:type="dxa"/>
          </w:tblCellMar>
        </w:tblPrEx>
        <w:trPr>
          <w:trHeight w:val="450" w:hRule="atLeast"/>
        </w:trPr>
        <w:tc>
          <w:tcPr>
            <w:tcW w:w="32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98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132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增、减额</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增、减幅度</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Arial"/>
                <w:color w:val="000000"/>
                <w:kern w:val="0"/>
                <w:sz w:val="20"/>
                <w:szCs w:val="20"/>
              </w:rPr>
            </w:pPr>
            <w:r>
              <w:rPr>
                <w:rFonts w:hint="eastAsia" w:ascii="宋体" w:hAnsi="宋体" w:cs="Arial"/>
                <w:color w:val="000000"/>
                <w:kern w:val="0"/>
                <w:sz w:val="20"/>
                <w:szCs w:val="20"/>
              </w:rPr>
              <w:t>合  计</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531.98</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478.42</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-53.56</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-10.07</w:t>
            </w:r>
            <w:r>
              <w:rPr>
                <w:rFonts w:hint="default"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1、因公出国（境）费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0.00</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2、公务接待费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116.48</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72.59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-43.89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-37.68</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3、公务用车费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default" w:ascii="宋体" w:hAnsi="宋体" w:eastAsia="宋体" w:cs="Arial"/>
                <w:color w:val="000000"/>
                <w:kern w:val="0"/>
                <w:sz w:val="20"/>
                <w:szCs w:val="20"/>
                <w:lang w:val="en-US" w:eastAsia="zh-CN"/>
              </w:rPr>
              <w:t>415.50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405.83</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-9.67</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-2.33</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450"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Arial"/>
                <w:color w:val="000000"/>
                <w:kern w:val="0"/>
                <w:sz w:val="20"/>
                <w:szCs w:val="20"/>
              </w:rPr>
            </w:pPr>
            <w:r>
              <w:rPr>
                <w:rFonts w:hint="eastAsia" w:ascii="宋体" w:hAnsi="宋体" w:cs="Arial"/>
                <w:color w:val="000000"/>
                <w:kern w:val="0"/>
                <w:sz w:val="20"/>
                <w:szCs w:val="20"/>
              </w:rPr>
              <w:t xml:space="preserve">    其中：（1）公务用车购置</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60.11</w:t>
            </w:r>
            <w:r>
              <w:rPr>
                <w:rFonts w:hint="eastAsia" w:ascii="宋体" w:hAnsi="宋体" w:eastAsia="宋体" w:cs="Arial"/>
                <w:color w:val="000000"/>
                <w:kern w:val="0"/>
                <w:sz w:val="20"/>
                <w:szCs w:val="20"/>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57.63</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-2.48</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-4.13</w:t>
            </w:r>
            <w:r>
              <w:rPr>
                <w:rFonts w:hint="eastAsia" w:ascii="宋体" w:hAnsi="宋体" w:eastAsia="宋体" w:cs="Arial"/>
                <w:color w:val="000000"/>
                <w:kern w:val="0"/>
                <w:sz w:val="20"/>
                <w:szCs w:val="20"/>
                <w:lang w:val="en-US" w:eastAsia="zh-CN"/>
              </w:rPr>
              <w:t>%</w:t>
            </w:r>
          </w:p>
        </w:tc>
      </w:tr>
      <w:tr>
        <w:tblPrEx>
          <w:tblCellMar>
            <w:top w:w="0" w:type="dxa"/>
            <w:left w:w="108" w:type="dxa"/>
            <w:bottom w:w="0" w:type="dxa"/>
            <w:right w:w="108" w:type="dxa"/>
          </w:tblCellMar>
        </w:tblPrEx>
        <w:trPr>
          <w:trHeight w:val="585" w:hRule="atLeast"/>
        </w:trPr>
        <w:tc>
          <w:tcPr>
            <w:tcW w:w="321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150" w:leftChars="500" w:right="0" w:hanging="100" w:hangingChars="50"/>
              <w:jc w:val="left"/>
              <w:rPr>
                <w:rFonts w:ascii="宋体" w:hAnsi="宋体" w:cs="Arial"/>
                <w:color w:val="000000"/>
                <w:kern w:val="0"/>
                <w:sz w:val="20"/>
                <w:szCs w:val="20"/>
              </w:rPr>
            </w:pPr>
            <w:r>
              <w:rPr>
                <w:rFonts w:hint="eastAsia" w:ascii="宋体" w:hAnsi="宋体" w:cs="Arial"/>
                <w:color w:val="000000"/>
                <w:kern w:val="0"/>
                <w:sz w:val="20"/>
                <w:szCs w:val="20"/>
              </w:rPr>
              <w:t>（2）公务用车运行维护费</w:t>
            </w:r>
          </w:p>
        </w:tc>
        <w:tc>
          <w:tcPr>
            <w:tcW w:w="9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355.39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348.20</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7.19</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-2.02</w:t>
            </w:r>
            <w:r>
              <w:rPr>
                <w:rFonts w:hint="eastAsia" w:ascii="宋体" w:hAnsi="宋体" w:eastAsia="宋体" w:cs="Arial"/>
                <w:color w:val="000000"/>
                <w:kern w:val="0"/>
                <w:sz w:val="20"/>
                <w:szCs w:val="20"/>
                <w:lang w:val="en-US" w:eastAsia="zh-CN"/>
              </w:rPr>
              <w:t>%</w:t>
            </w:r>
          </w:p>
        </w:tc>
      </w:tr>
    </w:tbl>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p>
    <w:p>
      <w:pPr>
        <w:jc w:val="both"/>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spacing w:line="540" w:lineRule="exact"/>
        <w:ind w:firstLine="640" w:firstLineChars="200"/>
        <w:jc w:val="center"/>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“三公”经费口径说明</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一、按照党中央、国务院有关文件及部门预算管理有关规定，“三公”经费包括因公出国（境）费、公务用车购置及运行维护费和公务接侍费。</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 xml:space="preserve">1.因公出国（境）费，指单位公务出国（境）的国际旅费、国外城市间交通费、住宿费、伙食费、培训费、公杂费等支出。  </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 xml:space="preserve">2.公务用车购置费，指公务用车购置支出（含车辆购置税、拍照费）；公务用车运行维护费，指单位按规定保留的公务用车燃料费、维修费、过路过桥费、保险费、安全奖励费用等支出。 </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3.公务接侍费，指单位按规定开支的各类公务接待（含外宾接待）费用。</w:t>
      </w:r>
    </w:p>
    <w:p>
      <w:pPr>
        <w:spacing w:line="540" w:lineRule="exact"/>
        <w:ind w:firstLine="640" w:firstLineChars="200"/>
        <w:rPr>
          <w:rFonts w:hint="eastAsia" w:ascii="Times New Roman" w:hAnsi="Times New Roman" w:eastAsia="方正仿宋_GBK" w:cs="Times New Roman"/>
          <w:kern w:val="44"/>
          <w:sz w:val="32"/>
          <w:szCs w:val="32"/>
          <w:lang w:val="en-US" w:eastAsia="zh-CN" w:bidi="ar"/>
        </w:rPr>
      </w:pPr>
      <w:r>
        <w:rPr>
          <w:rFonts w:hint="eastAsia" w:ascii="Times New Roman" w:hAnsi="Times New Roman" w:eastAsia="方正仿宋_GBK" w:cs="Times New Roman"/>
          <w:kern w:val="44"/>
          <w:sz w:val="32"/>
          <w:szCs w:val="32"/>
          <w:lang w:val="en-US" w:eastAsia="zh-CN" w:bidi="ar"/>
        </w:rPr>
        <w:t>二、“三公”经费决算数：指各级各部门（含下属单位）用一般公共预算财政拨款（含上年结转结余和当年预算）安排的因公出国（境）费、公务用车购置及运行维护费和公务接待费支出数。</w:t>
      </w:r>
    </w:p>
    <w:p>
      <w:pPr>
        <w:rPr>
          <w:rFonts w:hint="default" w:ascii="仿宋_GB2312" w:eastAsia="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YTg2MDlhNmM4ZGFiMjA5NjAyYmU1YmM1ZGRiN2EifQ=="/>
  </w:docVars>
  <w:rsids>
    <w:rsidRoot w:val="4F306935"/>
    <w:rsid w:val="00172A15"/>
    <w:rsid w:val="002625ED"/>
    <w:rsid w:val="002820B3"/>
    <w:rsid w:val="002E1E31"/>
    <w:rsid w:val="00363E93"/>
    <w:rsid w:val="00545A60"/>
    <w:rsid w:val="00565ACA"/>
    <w:rsid w:val="006338EC"/>
    <w:rsid w:val="00763E25"/>
    <w:rsid w:val="00973895"/>
    <w:rsid w:val="00974887"/>
    <w:rsid w:val="009A2414"/>
    <w:rsid w:val="009E2398"/>
    <w:rsid w:val="00A161BE"/>
    <w:rsid w:val="00BE7CFB"/>
    <w:rsid w:val="00C97A41"/>
    <w:rsid w:val="00D27104"/>
    <w:rsid w:val="00DA311E"/>
    <w:rsid w:val="00F25B06"/>
    <w:rsid w:val="00FF31C9"/>
    <w:rsid w:val="01E6152D"/>
    <w:rsid w:val="022D7723"/>
    <w:rsid w:val="024E7C57"/>
    <w:rsid w:val="03074E87"/>
    <w:rsid w:val="032E372C"/>
    <w:rsid w:val="035D2013"/>
    <w:rsid w:val="03A34D06"/>
    <w:rsid w:val="03A81532"/>
    <w:rsid w:val="049C2D1F"/>
    <w:rsid w:val="04A226AA"/>
    <w:rsid w:val="052263C9"/>
    <w:rsid w:val="05730A65"/>
    <w:rsid w:val="05883C21"/>
    <w:rsid w:val="058916A3"/>
    <w:rsid w:val="07616D2B"/>
    <w:rsid w:val="07F36299"/>
    <w:rsid w:val="08FF560F"/>
    <w:rsid w:val="09026457"/>
    <w:rsid w:val="09033ED8"/>
    <w:rsid w:val="09074ADD"/>
    <w:rsid w:val="091772F6"/>
    <w:rsid w:val="09D71932"/>
    <w:rsid w:val="0A76542F"/>
    <w:rsid w:val="0A9877F2"/>
    <w:rsid w:val="0ABC5428"/>
    <w:rsid w:val="0B044923"/>
    <w:rsid w:val="0B0E19AF"/>
    <w:rsid w:val="0BF72E73"/>
    <w:rsid w:val="0C3F55A4"/>
    <w:rsid w:val="0CF31BCF"/>
    <w:rsid w:val="0CF550D2"/>
    <w:rsid w:val="0D624402"/>
    <w:rsid w:val="0D6B4D11"/>
    <w:rsid w:val="0D930454"/>
    <w:rsid w:val="0EEC3F08"/>
    <w:rsid w:val="10300D1D"/>
    <w:rsid w:val="10386A81"/>
    <w:rsid w:val="109B61CD"/>
    <w:rsid w:val="10D26327"/>
    <w:rsid w:val="10EF5C58"/>
    <w:rsid w:val="122327D1"/>
    <w:rsid w:val="12AA012C"/>
    <w:rsid w:val="12C2240D"/>
    <w:rsid w:val="13110DD5"/>
    <w:rsid w:val="136640E2"/>
    <w:rsid w:val="140603E8"/>
    <w:rsid w:val="14347C33"/>
    <w:rsid w:val="14846AB8"/>
    <w:rsid w:val="14974454"/>
    <w:rsid w:val="151A411A"/>
    <w:rsid w:val="16CA6972"/>
    <w:rsid w:val="16F93C3E"/>
    <w:rsid w:val="17F760DF"/>
    <w:rsid w:val="190C23A4"/>
    <w:rsid w:val="192432CE"/>
    <w:rsid w:val="196178B0"/>
    <w:rsid w:val="19690540"/>
    <w:rsid w:val="19B84DDC"/>
    <w:rsid w:val="19C7635B"/>
    <w:rsid w:val="1A6D0246"/>
    <w:rsid w:val="1B446B4C"/>
    <w:rsid w:val="1B485552"/>
    <w:rsid w:val="1C2D6EB8"/>
    <w:rsid w:val="1C673327"/>
    <w:rsid w:val="1CC80EC6"/>
    <w:rsid w:val="1CFC261A"/>
    <w:rsid w:val="1DBB1753"/>
    <w:rsid w:val="1E1A0873"/>
    <w:rsid w:val="1E885624"/>
    <w:rsid w:val="1EE537BF"/>
    <w:rsid w:val="1F1F489E"/>
    <w:rsid w:val="20791657"/>
    <w:rsid w:val="20EE1616"/>
    <w:rsid w:val="213327AF"/>
    <w:rsid w:val="22241693"/>
    <w:rsid w:val="227E5224"/>
    <w:rsid w:val="23085188"/>
    <w:rsid w:val="23E463A4"/>
    <w:rsid w:val="241B6525"/>
    <w:rsid w:val="25154CD1"/>
    <w:rsid w:val="2623089E"/>
    <w:rsid w:val="27424579"/>
    <w:rsid w:val="27804403"/>
    <w:rsid w:val="28673056"/>
    <w:rsid w:val="2AED757D"/>
    <w:rsid w:val="2B3A1BFB"/>
    <w:rsid w:val="2B552424"/>
    <w:rsid w:val="2B611ABA"/>
    <w:rsid w:val="2C0B66D0"/>
    <w:rsid w:val="2C0D1BD3"/>
    <w:rsid w:val="2C7F0C0D"/>
    <w:rsid w:val="2D200796"/>
    <w:rsid w:val="2D67681A"/>
    <w:rsid w:val="2E157DAA"/>
    <w:rsid w:val="2E200339"/>
    <w:rsid w:val="2E521E0D"/>
    <w:rsid w:val="2F5843E6"/>
    <w:rsid w:val="2F9C692C"/>
    <w:rsid w:val="2FBB5B5C"/>
    <w:rsid w:val="32142838"/>
    <w:rsid w:val="32B85544"/>
    <w:rsid w:val="32E80292"/>
    <w:rsid w:val="333A3923"/>
    <w:rsid w:val="33814F8D"/>
    <w:rsid w:val="33AA3BD3"/>
    <w:rsid w:val="348A6712"/>
    <w:rsid w:val="35511985"/>
    <w:rsid w:val="35A20167"/>
    <w:rsid w:val="35DE5AC3"/>
    <w:rsid w:val="3618394C"/>
    <w:rsid w:val="368A6F17"/>
    <w:rsid w:val="3744398B"/>
    <w:rsid w:val="37F54FE4"/>
    <w:rsid w:val="39755785"/>
    <w:rsid w:val="39DE2D7E"/>
    <w:rsid w:val="3A430524"/>
    <w:rsid w:val="3B197282"/>
    <w:rsid w:val="3B9B1DDA"/>
    <w:rsid w:val="3BBE7A10"/>
    <w:rsid w:val="3C007580"/>
    <w:rsid w:val="3CF36204"/>
    <w:rsid w:val="3D307C72"/>
    <w:rsid w:val="3D42560E"/>
    <w:rsid w:val="3D7B244D"/>
    <w:rsid w:val="3DA443AE"/>
    <w:rsid w:val="3DE67F86"/>
    <w:rsid w:val="3E4464B5"/>
    <w:rsid w:val="3ECC5115"/>
    <w:rsid w:val="3FB10C0A"/>
    <w:rsid w:val="40107D2A"/>
    <w:rsid w:val="4134333A"/>
    <w:rsid w:val="42174BFC"/>
    <w:rsid w:val="42741713"/>
    <w:rsid w:val="43D922DF"/>
    <w:rsid w:val="43F81241"/>
    <w:rsid w:val="43FE4A9D"/>
    <w:rsid w:val="44050BA5"/>
    <w:rsid w:val="44491957"/>
    <w:rsid w:val="44A97134"/>
    <w:rsid w:val="45046549"/>
    <w:rsid w:val="460573F1"/>
    <w:rsid w:val="461F4FD9"/>
    <w:rsid w:val="46B360C7"/>
    <w:rsid w:val="46CF6AB9"/>
    <w:rsid w:val="480A2FBE"/>
    <w:rsid w:val="48C301EE"/>
    <w:rsid w:val="48E32CA1"/>
    <w:rsid w:val="499275C2"/>
    <w:rsid w:val="4A201EF6"/>
    <w:rsid w:val="4A391054"/>
    <w:rsid w:val="4BF54BAD"/>
    <w:rsid w:val="4C5174C5"/>
    <w:rsid w:val="4D5A147A"/>
    <w:rsid w:val="4D8B5F48"/>
    <w:rsid w:val="4D8C39CA"/>
    <w:rsid w:val="4DB31898"/>
    <w:rsid w:val="4EFA3BA1"/>
    <w:rsid w:val="4F306935"/>
    <w:rsid w:val="4F362701"/>
    <w:rsid w:val="4FB73F54"/>
    <w:rsid w:val="4FFD46C8"/>
    <w:rsid w:val="500365D1"/>
    <w:rsid w:val="51B12E15"/>
    <w:rsid w:val="51E360D0"/>
    <w:rsid w:val="527918CC"/>
    <w:rsid w:val="52940E89"/>
    <w:rsid w:val="52CB27AB"/>
    <w:rsid w:val="53486233"/>
    <w:rsid w:val="540013E0"/>
    <w:rsid w:val="54021060"/>
    <w:rsid w:val="54B7788A"/>
    <w:rsid w:val="54CE74AF"/>
    <w:rsid w:val="54E44ED6"/>
    <w:rsid w:val="55300AA6"/>
    <w:rsid w:val="55311752"/>
    <w:rsid w:val="554C7D7D"/>
    <w:rsid w:val="55902DF0"/>
    <w:rsid w:val="55C36AC2"/>
    <w:rsid w:val="55FD7BA1"/>
    <w:rsid w:val="57370BA2"/>
    <w:rsid w:val="58D802CE"/>
    <w:rsid w:val="58E3502B"/>
    <w:rsid w:val="59234DC2"/>
    <w:rsid w:val="59DF60F2"/>
    <w:rsid w:val="59E73D0F"/>
    <w:rsid w:val="5AD44891"/>
    <w:rsid w:val="5B2C640D"/>
    <w:rsid w:val="5B424EC5"/>
    <w:rsid w:val="5C5E4398"/>
    <w:rsid w:val="5CE37E74"/>
    <w:rsid w:val="5DE7421F"/>
    <w:rsid w:val="5DF846AC"/>
    <w:rsid w:val="5ED3731F"/>
    <w:rsid w:val="5F3209BE"/>
    <w:rsid w:val="5F384AC5"/>
    <w:rsid w:val="5F7B20B7"/>
    <w:rsid w:val="61227E69"/>
    <w:rsid w:val="628F5E41"/>
    <w:rsid w:val="62C06610"/>
    <w:rsid w:val="62D665B5"/>
    <w:rsid w:val="63554905"/>
    <w:rsid w:val="63857653"/>
    <w:rsid w:val="641F7851"/>
    <w:rsid w:val="64D11873"/>
    <w:rsid w:val="64FC2575"/>
    <w:rsid w:val="66696111"/>
    <w:rsid w:val="67FD1DAB"/>
    <w:rsid w:val="68765E92"/>
    <w:rsid w:val="68776372"/>
    <w:rsid w:val="68C42A6D"/>
    <w:rsid w:val="6A6F632C"/>
    <w:rsid w:val="6AA8778B"/>
    <w:rsid w:val="6AB06D96"/>
    <w:rsid w:val="6BA66450"/>
    <w:rsid w:val="6BDA557E"/>
    <w:rsid w:val="6BFE44B9"/>
    <w:rsid w:val="6C9D6941"/>
    <w:rsid w:val="6CA55F4C"/>
    <w:rsid w:val="6CAB36D8"/>
    <w:rsid w:val="6CED1BC3"/>
    <w:rsid w:val="6D83593A"/>
    <w:rsid w:val="6DBA6298"/>
    <w:rsid w:val="6E1A1331"/>
    <w:rsid w:val="6E4111F0"/>
    <w:rsid w:val="6F254CE6"/>
    <w:rsid w:val="6F491A22"/>
    <w:rsid w:val="6F6F7CFF"/>
    <w:rsid w:val="70065659"/>
    <w:rsid w:val="70B002EF"/>
    <w:rsid w:val="70C15D8C"/>
    <w:rsid w:val="71047AFA"/>
    <w:rsid w:val="712325AD"/>
    <w:rsid w:val="721A1840"/>
    <w:rsid w:val="724F0A16"/>
    <w:rsid w:val="72B461BC"/>
    <w:rsid w:val="72FD3138"/>
    <w:rsid w:val="730B244E"/>
    <w:rsid w:val="73704370"/>
    <w:rsid w:val="73CB7009"/>
    <w:rsid w:val="759B3A01"/>
    <w:rsid w:val="768A3460"/>
    <w:rsid w:val="76D80A05"/>
    <w:rsid w:val="78491FE5"/>
    <w:rsid w:val="78A87E00"/>
    <w:rsid w:val="78B33C13"/>
    <w:rsid w:val="78CF3543"/>
    <w:rsid w:val="79995B37"/>
    <w:rsid w:val="79B00633"/>
    <w:rsid w:val="7A741675"/>
    <w:rsid w:val="7C264A87"/>
    <w:rsid w:val="7D121F3E"/>
    <w:rsid w:val="7DC93C6B"/>
    <w:rsid w:val="7E300197"/>
    <w:rsid w:val="7E890826"/>
    <w:rsid w:val="7F27742A"/>
    <w:rsid w:val="7F3C3B4D"/>
    <w:rsid w:val="7F461EDE"/>
    <w:rsid w:val="7F5F5006"/>
    <w:rsid w:val="7FAC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云南省财政厅</Company>
  <Pages>6</Pages>
  <Words>1836</Words>
  <Characters>2332</Characters>
  <Lines>12</Lines>
  <Paragraphs>3</Paragraphs>
  <TotalTime>50</TotalTime>
  <ScaleCrop>false</ScaleCrop>
  <LinksUpToDate>false</LinksUpToDate>
  <CharactersWithSpaces>2386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Administrator</cp:lastModifiedBy>
  <cp:lastPrinted>2021-01-29T09:36:00Z</cp:lastPrinted>
  <dcterms:modified xsi:type="dcterms:W3CDTF">2024-09-02T09:10:17Z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341AF1BD5F39419BB5699A4461001DFC</vt:lpwstr>
  </property>
</Properties>
</file>