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b/>
          <w:sz w:val="36"/>
        </w:rPr>
      </w:pPr>
      <w:r>
        <w:rPr>
          <w:rFonts w:ascii="Arial" w:hAnsi="Arial" w:eastAsia="Arial" w:cs="Arial"/>
          <w:b/>
          <w:sz w:val="36"/>
        </w:rPr>
        <w:t>监督索引号53042603100011000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关于峨山彝族自治县202</w:t>
      </w:r>
      <w:r>
        <w:rPr>
          <w:rFonts w:hint="eastAsia" w:eastAsia="方正小标宋_GBK"/>
          <w:sz w:val="44"/>
          <w:szCs w:val="44"/>
          <w:lang w:val="en-US" w:eastAsia="zh-CN"/>
        </w:rPr>
        <w:t>3</w:t>
      </w:r>
      <w:r>
        <w:rPr>
          <w:rFonts w:eastAsia="方正小标宋_GBK"/>
          <w:sz w:val="44"/>
          <w:szCs w:val="44"/>
        </w:rPr>
        <w:t>年财政决算</w:t>
      </w:r>
      <w:r>
        <w:rPr>
          <w:rFonts w:hint="eastAsia" w:eastAsia="方正小标宋_GBK"/>
          <w:sz w:val="44"/>
          <w:szCs w:val="44"/>
          <w:lang w:eastAsia="zh-CN"/>
        </w:rPr>
        <w:t>（</w:t>
      </w:r>
      <w:r>
        <w:rPr>
          <w:rFonts w:eastAsia="方正小标宋_GBK"/>
          <w:sz w:val="44"/>
          <w:szCs w:val="44"/>
        </w:rPr>
        <w:t>草案</w:t>
      </w:r>
      <w:r>
        <w:rPr>
          <w:rFonts w:hint="eastAsia" w:eastAsia="方正小标宋_GBK"/>
          <w:sz w:val="44"/>
          <w:szCs w:val="44"/>
          <w:lang w:eastAsia="zh-CN"/>
        </w:rPr>
        <w:t>）</w:t>
      </w:r>
      <w:r>
        <w:rPr>
          <w:rFonts w:eastAsia="方正小标宋_GBK"/>
          <w:sz w:val="44"/>
          <w:szCs w:val="44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eastAsia="zh-CN"/>
        </w:rPr>
        <w:t>——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2024年8月26日在峨山彝族自治县第十八届人大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常委会第二十五次会议上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eastAsia="zh-CN"/>
        </w:rPr>
        <w:t>峨山彝族自治县人民政府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9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主任、各位副主任、各位委员：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受县人民政府委托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zCs w:val="32"/>
        </w:rPr>
        <w:t>现向会议报告经市财政局审核批复的峨山县202</w:t>
      </w:r>
      <w:r>
        <w:rPr>
          <w:rFonts w:hint="eastAsia" w:eastAsia="方正仿宋_GBK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</w:rPr>
        <w:t>年财政决算草案，请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予</w:t>
      </w:r>
      <w:r>
        <w:rPr>
          <w:rFonts w:hint="eastAsia" w:eastAsia="方正仿宋_GBK" w:cs="Times New Roman"/>
          <w:szCs w:val="32"/>
          <w:highlight w:val="none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/>
          <w:color w:val="auto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Cs w:val="32"/>
        </w:rPr>
        <w:t>一、202</w:t>
      </w:r>
      <w:r>
        <w:rPr>
          <w:rFonts w:hint="default" w:ascii="Times New Roman" w:hAnsi="Times New Roman" w:eastAsia="方正黑体_GBK" w:cs="Times New Roman"/>
          <w:bCs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bCs/>
          <w:color w:val="auto"/>
          <w:szCs w:val="32"/>
        </w:rPr>
        <w:t>年财政决算情况</w:t>
      </w:r>
      <w:r>
        <w:rPr>
          <w:rFonts w:hint="default" w:ascii="Times New Roman" w:hAnsi="Times New Roman" w:eastAsia="方正黑体_GBK" w:cs="Times New Roman"/>
          <w:bCs/>
          <w:color w:val="auto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color w:val="auto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Cs w:val="32"/>
        </w:rPr>
        <w:t>（一）一般公共预算收支决算情况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年，完成一般公共预算收入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249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万元，完成年初预算数4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0万元的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79.5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%，完成调整预算数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0万元的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78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.8%，比上年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减少4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761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万元、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减11.3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%，收入决算数与202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年年初向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全年完成一般公共预算支出1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,200万元，完成年初预算数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178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,0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万元的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91.1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%，完成调整预算数1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600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万元的99.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%，比上年减少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万元、减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.4%，支出决算数与202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年年初向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一般公共预算平衡情况：一般公共预算收入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249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万元，上级补助收入1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267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万元（包括返还性收入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,4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万元、一般性转移支付收入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114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067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专项转移支付收入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733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万元），债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务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转贷收入2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568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万元，调入资金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,7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万元，动用预算稳定调节基金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5,416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万元，收入总计21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221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万元。一般公共预算支出1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,200万元，一般债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务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还本支出22,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86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0万元，上解支出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9万元，安排预算稳定调节基金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237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万元，调出资金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362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待偿债置换一般债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务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结余2,763万元，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支出总计2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02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,4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万元。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年终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结余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12,800万元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。与202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年年初向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报告数相比，变动项目为：①上级补助收入增加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1,672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其中</w:t>
      </w:r>
      <w:r>
        <w:rPr>
          <w:rFonts w:hint="eastAsia" w:eastAsia="方正仿宋_GBK" w:cs="Times New Roman"/>
          <w:color w:val="auto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返还性收入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增加223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主要是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省级分享企业所得税、个人所得税、耕地占用税三个税种增收留用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奖补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一般性转移支付收入增加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1,449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主要是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结算补助收入增加1,350万元、增值税留抵退税转移支付收入增加99万元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；②上解支出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增加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1,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35万元，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主要是未完成债务化解扣款1,000万元、未完成欠拨专款化解扣款380万元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；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③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安排预算稳定调节基金支出增加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237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④待偿债置换一般债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务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结余增加2,763万元；⑤结转下年减少2,763万元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Cs w:val="32"/>
        </w:rPr>
        <w:t>县本级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含双江、小街街道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完成一般公共预算收入33,334万元，其中：税收收入完成15,679万元，占一般公共预算收入的47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.0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%；非税收入完成17,655万元，占一般公共预算收入的53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.0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%。完成一般公共预算支出142,669万元。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Cs w:val="32"/>
        </w:rPr>
        <w:t>乡镇级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完成一般公共预算收入3,915万元，完成收入基数3,975万元的98.5%，其中：税收收入完成3,766万元，完成税收收入基数3,740万元的100.7%，占一般公共预算收入的96.2%；非税收入完成149万元，完成非税收入基数235万元的63.4%，占一般公共预算收入的3.8%。完成一般公共预算支出19,531万元，完成支出基数17,215万元的113.5%。县乡两级收支决算数与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年年初向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双江街道完成一般公共预算收入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</w:rPr>
        <w:t>,8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85</w:t>
      </w:r>
      <w:r>
        <w:rPr>
          <w:rFonts w:hint="default" w:ascii="Times New Roman" w:hAnsi="Times New Roman" w:eastAsia="方正仿宋_GBK" w:cs="Times New Roman"/>
          <w:color w:val="auto"/>
        </w:rPr>
        <w:t>万元，完成收入基数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4,839万元</w:t>
      </w:r>
      <w:r>
        <w:rPr>
          <w:rFonts w:hint="default" w:ascii="Times New Roman" w:hAnsi="Times New Roman" w:eastAsia="方正仿宋_GBK" w:cs="Times New Roman"/>
          <w:color w:val="auto"/>
        </w:rPr>
        <w:t>的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80.3</w:t>
      </w:r>
      <w:r>
        <w:rPr>
          <w:rFonts w:hint="default" w:ascii="Times New Roman" w:hAnsi="Times New Roman" w:eastAsia="方正仿宋_GBK" w:cs="Times New Roman"/>
          <w:color w:val="auto"/>
        </w:rPr>
        <w:t>%；完成一般公共预算支出5,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245</w:t>
      </w:r>
      <w:r>
        <w:rPr>
          <w:rFonts w:hint="default" w:ascii="Times New Roman" w:hAnsi="Times New Roman" w:eastAsia="方正仿宋_GBK" w:cs="Times New Roman"/>
          <w:color w:val="auto"/>
        </w:rPr>
        <w:t>万元，完成支出基数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5,670万元</w:t>
      </w:r>
      <w:r>
        <w:rPr>
          <w:rFonts w:hint="default" w:ascii="Times New Roman" w:hAnsi="Times New Roman" w:eastAsia="方正仿宋_GBK" w:cs="Times New Roman"/>
          <w:color w:val="auto"/>
        </w:rPr>
        <w:t>的9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color w:val="auto"/>
        </w:rPr>
        <w:t>%。收支决算数与202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</w:rPr>
        <w:t>年年初向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color w:val="auto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小街街道完成一般公共预算收入1,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155</w:t>
      </w:r>
      <w:r>
        <w:rPr>
          <w:rFonts w:hint="default" w:ascii="Times New Roman" w:hAnsi="Times New Roman" w:eastAsia="方正仿宋_GBK" w:cs="Times New Roman"/>
          <w:color w:val="auto"/>
        </w:rPr>
        <w:t>万元，完成收入基数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1,420万元</w:t>
      </w:r>
      <w:r>
        <w:rPr>
          <w:rFonts w:hint="default" w:ascii="Times New Roman" w:hAnsi="Times New Roman" w:eastAsia="方正仿宋_GBK" w:cs="Times New Roman"/>
          <w:color w:val="auto"/>
        </w:rPr>
        <w:t>的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81.3</w:t>
      </w:r>
      <w:r>
        <w:rPr>
          <w:rFonts w:hint="default" w:ascii="Times New Roman" w:hAnsi="Times New Roman" w:eastAsia="方正仿宋_GBK" w:cs="Times New Roman"/>
          <w:color w:val="auto"/>
        </w:rPr>
        <w:t>%；完成一般公共预算支出4,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456</w:t>
      </w:r>
      <w:r>
        <w:rPr>
          <w:rFonts w:hint="default" w:ascii="Times New Roman" w:hAnsi="Times New Roman" w:eastAsia="方正仿宋_GBK" w:cs="Times New Roman"/>
          <w:color w:val="auto"/>
        </w:rPr>
        <w:t>万元，完成支出基数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4,116</w:t>
      </w:r>
      <w:r>
        <w:rPr>
          <w:rFonts w:hint="default" w:ascii="Times New Roman" w:hAnsi="Times New Roman" w:eastAsia="方正仿宋_GBK" w:cs="Times New Roman"/>
          <w:color w:val="auto"/>
        </w:rPr>
        <w:t>的108.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</w:rPr>
        <w:t>%。收支决算数与202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</w:rPr>
        <w:t>年年初向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color w:val="auto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Cs w:val="32"/>
        </w:rPr>
        <w:t>（二）政府性基金预算收支决算情况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年，全年完成政府性基金预算收入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643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万元，完成年初预算数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002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万元的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4.6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%，完成调整预算数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909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万元的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103.2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%，比上年减少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934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万元、减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50.3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%，收入决算数与202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年年初向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全年完成政府性基金预算支出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408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万元，完成年初预算数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9万元的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107.7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%，完成调整预算数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646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万元的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79.2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%，比上年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减少50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778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万元、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减61.8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%。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支出决算数与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年年初向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政府性基金预算平衡情况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政府性基金预算收入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643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万元，上级补助收入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900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万元，债务转贷收入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0万元，调入资金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362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上年结余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700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万元，收入总计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82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495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万元。政府性基金预算支出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408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万元，债务还本支出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50万元，调出资金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557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万元，上解支出1,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361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万元，支出总计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076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万元。收支相抵，年终结余1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419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万元。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与202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年年初向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报告数相比，变动项目为：①上解支出减少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val="en-US" w:eastAsia="zh-CN"/>
        </w:rPr>
        <w:t>②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年终结余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val="en-US" w:eastAsia="zh-CN"/>
        </w:rPr>
        <w:t>增加14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color w:val="auto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Cs w:val="32"/>
        </w:rPr>
        <w:t>（三）国有资本经营预算收支决算情况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年，全年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未发生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国有资本经营预算收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国有资本经营预算平衡情况：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国有资本经营预算收入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万元，上级补助收入16万元，上年结余收入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164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万元，收入总计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180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万元。国有资本经营预算支出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万元，调出资金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164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万元，支出总计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164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万元。收支相抵，年终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结</w:t>
      </w:r>
      <w:r>
        <w:rPr>
          <w:rFonts w:hint="eastAsia" w:ascii="Times New Roman" w:hAnsi="Times New Roman" w:eastAsia="方正仿宋_GBK" w:cs="Times New Roman"/>
          <w:color w:val="auto"/>
          <w:spacing w:val="10"/>
          <w:szCs w:val="32"/>
          <w:lang w:val="en-US" w:eastAsia="zh-CN"/>
        </w:rPr>
        <w:t>余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16万元。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与202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年年初向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eastAsia="zh-CN"/>
        </w:rPr>
        <w:t>十八届人大第四次会议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Cs/>
          <w:color w:val="auto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Cs w:val="32"/>
        </w:rPr>
        <w:t>（四）社会保险基金预算收支决算情况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2023年，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全年完成社会保险基金预算收入50,500万元，完成年初预算数53,632万元的94.2%，完成调整预算数54,199万元的93.2%，比上年增加125万元、增0.2%。收入决算数与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2024年年初向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十八届人大第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次会议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报告数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相比减少241万元，变动原因是：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城乡居民基本养老保险基金委托上级投资运营的投资收益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val="en-US" w:eastAsia="zh-CN"/>
        </w:rPr>
        <w:t>实际完成数比预计数少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241万元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全年完成社会保险基金预算支出53,514万元，完成年初预算数55,820万元的95.9%，完成调整预算数56,392万元的94.9%，比上年增加5,098万元、增10.5%。支出决算数与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2024年年初向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十八届人大第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pacing w:val="10"/>
          <w:szCs w:val="32"/>
        </w:rPr>
        <w:t>次会议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报告数一致。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000000"/>
          <w:szCs w:val="32"/>
        </w:rPr>
        <w:t>社会保险基金预算平衡情况：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社会保险基金收入50,500万元，上级补助收入26,684万元，上年结余收入27,997万元，收入总计105,181万元。社会保险基金支出53,514万元，上解上级支出24,953万元，支出总计78,467万元。收支相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抵，年末滚存结余26,714万元。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zCs w:val="32"/>
          <w:highlight w:val="none"/>
        </w:rPr>
        <w:t>（五）债务情况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市级新增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峨山县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年债务额度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3.34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其中：一般债务1.34亿元、专项债务2亿元，回收限额2.2亿元，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全县累计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债务限额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39.48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（正式文件暂未下达）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其中：一般债务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限额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12.94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元，专项债务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限额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6.54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元。全县地方政府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法定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债务余额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37.6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亿元，其中：一般债务余额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11.77亿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元，专项债务余额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25.83亿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eastAsia="zh-CN"/>
        </w:rPr>
        <w:t>峨山县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共争取到债券资金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6.05亿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元，其中：①新增专项债券资金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2亿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元，涉及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eastAsia="zh-CN"/>
        </w:rPr>
        <w:t>玉溪市大化产业园区铁路专用线（峨山段）项目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eastAsia="zh-CN"/>
        </w:rPr>
        <w:t>个项目，属于30年期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其他自平衡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eastAsia="zh-CN"/>
        </w:rPr>
        <w:t>专项债券。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②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再融资债券资金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4.05亿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元，其中：一般债券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2.56亿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元，专项债券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  <w:lang w:val="en-US" w:eastAsia="zh-CN"/>
        </w:rPr>
        <w:t>1.49亿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Cs/>
          <w:color w:val="auto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Cs w:val="32"/>
        </w:rPr>
        <w:t>（六）“三保”预算执行情况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年全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完成“三保”支出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189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万元，完成调整预算数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7,8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万元的9</w:t>
      </w:r>
      <w:r>
        <w:rPr>
          <w:rFonts w:hint="eastAsia" w:ascii="Times New Roman" w:hAnsi="Times New Roman" w:eastAsia="方正仿宋_GBK" w:cs="Times New Roman"/>
          <w:color w:val="auto"/>
          <w:szCs w:val="32"/>
          <w:lang w:val="en-US" w:eastAsia="zh-CN"/>
        </w:rPr>
        <w:t>5.8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%，其中：保基本民生1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775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保工资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68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885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万元、保运转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529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Cs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Cs w:val="32"/>
        </w:rPr>
        <w:t>二、202</w:t>
      </w:r>
      <w:r>
        <w:rPr>
          <w:rFonts w:hint="default" w:ascii="Times New Roman" w:hAnsi="Times New Roman" w:eastAsia="方正黑体_GBK" w:cs="Times New Roman"/>
          <w:bCs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bCs/>
          <w:color w:val="auto"/>
          <w:szCs w:val="32"/>
        </w:rPr>
        <w:t>年财政工作主要措施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（一）在收入组织上持续发力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坚持把“抓收入”作为主线任务，多措并举创收增收，全方位推动财政收入稳定增长。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一是强化税费征缴管理。</w:t>
      </w:r>
      <w:r>
        <w:rPr>
          <w:rFonts w:hint="default" w:ascii="Times New Roman" w:hAnsi="Times New Roman" w:eastAsia="方正仿宋_GBK" w:cs="Times New Roman"/>
          <w:szCs w:val="32"/>
        </w:rPr>
        <w:t>加强涉税涉费信息交换和综合利用，持续实行县域重点项目、重点企业、重点行业收入动态监控，不断夯实财政收入基础。全年累计完成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同口径</w:t>
      </w:r>
      <w:r>
        <w:rPr>
          <w:rFonts w:hint="default" w:ascii="Times New Roman" w:hAnsi="Times New Roman" w:eastAsia="方正仿宋_GBK" w:cs="Times New Roman"/>
          <w:szCs w:val="32"/>
        </w:rPr>
        <w:t>一般公共预算收入50,367万元；扣除留抵退税因素影响后，完成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自然口径</w:t>
      </w:r>
      <w:r>
        <w:rPr>
          <w:rFonts w:hint="default" w:ascii="Times New Roman" w:hAnsi="Times New Roman" w:eastAsia="方正仿宋_GBK" w:cs="Times New Roman"/>
          <w:szCs w:val="32"/>
        </w:rPr>
        <w:t>一般公共预算收入37,249万元，同比减11.3%。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二是全力盘活资产资源。</w:t>
      </w:r>
      <w:r>
        <w:rPr>
          <w:rFonts w:hint="default" w:ascii="Times New Roman" w:hAnsi="Times New Roman" w:eastAsia="方正仿宋_GBK" w:cs="Times New Roman"/>
          <w:szCs w:val="32"/>
        </w:rPr>
        <w:t>按年度计划加快土地供应，清理和处置行政事业单位、国有企业闲置房产、县城区停车位特许经营权以及可利用矿山、砂石、河沙等资产。全年累计实现资产资源盘活变现33,946万元。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三是积极主动向上争取。</w:t>
      </w:r>
      <w:r>
        <w:rPr>
          <w:rFonts w:hint="default" w:ascii="Times New Roman" w:hAnsi="Times New Roman" w:eastAsia="方正仿宋_GBK" w:cs="Times New Roman"/>
          <w:szCs w:val="32"/>
        </w:rPr>
        <w:t>增强向上争取资金的主动意识，进一步明确目标、压实责任，围绕全县重点中心工作大力争取上级资金。完成向上争取资金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130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903</w:t>
      </w:r>
      <w:r>
        <w:rPr>
          <w:rFonts w:hint="default" w:ascii="Times New Roman" w:hAnsi="Times New Roman" w:eastAsia="方正仿宋_GBK" w:cs="Times New Roman"/>
          <w:szCs w:val="32"/>
        </w:rPr>
        <w:t>万元，完成目标任务基数111,900万元的11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.0</w:t>
      </w:r>
      <w:r>
        <w:rPr>
          <w:rFonts w:hint="default" w:ascii="Times New Roman" w:hAnsi="Times New Roman" w:eastAsia="方正仿宋_GBK" w:cs="Times New Roman"/>
          <w:szCs w:val="32"/>
        </w:rPr>
        <w:t>%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同比增加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311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万元，增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16.3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%</w:t>
      </w:r>
      <w:r>
        <w:rPr>
          <w:rFonts w:hint="default" w:ascii="Times New Roman" w:hAnsi="Times New Roman" w:eastAsia="方正仿宋_GBK" w:cs="Times New Roman"/>
          <w:szCs w:val="32"/>
        </w:rPr>
        <w:t>。其中：争取专项债券资金20,000万元、争取增发国债资金12,800万元。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四是持续加强财源培植。</w:t>
      </w:r>
      <w:r>
        <w:rPr>
          <w:rFonts w:hint="default" w:ascii="Times New Roman" w:hAnsi="Times New Roman" w:eastAsia="方正仿宋_GBK" w:cs="Times New Roman"/>
          <w:szCs w:val="32"/>
        </w:rPr>
        <w:t>抢抓玉昆项目投产重大发展机遇，</w:t>
      </w:r>
      <w:r>
        <w:rPr>
          <w:rFonts w:hint="default" w:ascii="Times New Roman" w:hAnsi="Times New Roman" w:eastAsia="方正仿宋_GBK" w:cs="Times New Roman"/>
          <w:bCs/>
          <w:szCs w:val="32"/>
        </w:rPr>
        <w:t>把招商引资和财源培植紧密</w:t>
      </w:r>
      <w:r>
        <w:rPr>
          <w:rFonts w:hint="eastAsia" w:ascii="Times New Roman" w:hAnsi="Times New Roman" w:eastAsia="方正仿宋_GBK" w:cs="Times New Roman"/>
          <w:bCs/>
          <w:szCs w:val="32"/>
          <w:lang w:val="en-US" w:eastAsia="zh-CN"/>
        </w:rPr>
        <w:t>结</w:t>
      </w:r>
      <w:r>
        <w:rPr>
          <w:rFonts w:hint="default" w:ascii="Times New Roman" w:hAnsi="Times New Roman" w:eastAsia="方正仿宋_GBK" w:cs="Times New Roman"/>
          <w:bCs/>
          <w:szCs w:val="32"/>
        </w:rPr>
        <w:t>合起来，</w:t>
      </w:r>
      <w:r>
        <w:rPr>
          <w:rFonts w:hint="default" w:ascii="Times New Roman" w:hAnsi="Times New Roman" w:eastAsia="方正仿宋_GBK" w:cs="Times New Roman"/>
          <w:szCs w:val="32"/>
        </w:rPr>
        <w:t>进一步优化营商环境，做好企业引导，全力推进玉昆及相关企业落地，通过激发企业活力、发挥产业集群效应，带动县域经济平稳发展。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（二）在政策落实上突出精准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加力提效落实积极的财政政策，推动各项政策不折不扣落实到位。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一是落实税费优惠政策，</w:t>
      </w:r>
      <w:r>
        <w:rPr>
          <w:rFonts w:hint="default" w:ascii="Times New Roman" w:hAnsi="Times New Roman" w:eastAsia="方正仿宋_GBK" w:cs="Times New Roman"/>
          <w:szCs w:val="32"/>
        </w:rPr>
        <w:t>着力为经营主体纾困解难，不断增强发展动能，激发市场活力，优化经济结构，推动经济持续回升向好。全年累计减税降费及退税缓费95,690万元（全口径）。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二是落实基层“三保”责任，</w:t>
      </w:r>
      <w:r>
        <w:rPr>
          <w:rFonts w:hint="default" w:ascii="Times New Roman" w:hAnsi="Times New Roman" w:eastAsia="方正仿宋_GBK" w:cs="Times New Roman"/>
          <w:bCs/>
          <w:szCs w:val="32"/>
        </w:rPr>
        <w:t>统筹考虑全县可用财力和库款支撑情况，</w:t>
      </w:r>
      <w:r>
        <w:rPr>
          <w:rFonts w:hint="default" w:ascii="Times New Roman" w:hAnsi="Times New Roman" w:eastAsia="方正仿宋_GBK" w:cs="Times New Roman"/>
          <w:kern w:val="0"/>
          <w:szCs w:val="32"/>
        </w:rPr>
        <w:t>坚持“三保”在支出保障中的优先顺序，</w:t>
      </w:r>
      <w:r>
        <w:rPr>
          <w:rFonts w:hint="default" w:ascii="Times New Roman" w:hAnsi="Times New Roman" w:eastAsia="方正仿宋_GBK" w:cs="Times New Roman"/>
          <w:szCs w:val="32"/>
        </w:rPr>
        <w:t>采取切实有效的措施，全力统筹资金、资产、资源，想尽一切办法兜牢“三保”底线。全年完成“三保”支出84,1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Cs w:val="32"/>
        </w:rPr>
        <w:t>万元，占一般公共预算支出的51.9%。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三是落实资金直达机制，</w:t>
      </w:r>
      <w:r>
        <w:rPr>
          <w:rFonts w:hint="default" w:ascii="Times New Roman" w:hAnsi="Times New Roman" w:eastAsia="方正仿宋_GBK" w:cs="Times New Roman"/>
          <w:szCs w:val="32"/>
        </w:rPr>
        <w:t>加快推进直达资金支出进度，加强对直达资金预算分配下达、支付使用、惠企利民补贴补助发放情况的全覆盖、全流程、动态化监管，提高资金使用效益。全年累计完成直达资金支付27,898万元。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四是落实政府过“紧日子”，</w:t>
      </w:r>
      <w:r>
        <w:rPr>
          <w:rFonts w:hint="default" w:ascii="Times New Roman" w:hAnsi="Times New Roman" w:eastAsia="方正仿宋_GBK" w:cs="Times New Roman"/>
          <w:szCs w:val="32"/>
        </w:rPr>
        <w:t>党政机关带头厉行节约，从严控制非刚性非重点支出，全年压减一般性支出1,091万元；加强“三公”经费预算管理，全县“三公”经费支出401万元，完成年初预算数的63.1%。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（三）在支出保障上重点优化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深入贯彻落实积极的财政政策要保持一定的支出强度和力度，调整优化支出结构。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一是突出保民生兜底线，</w:t>
      </w:r>
      <w:r>
        <w:rPr>
          <w:rFonts w:hint="default" w:ascii="Times New Roman" w:hAnsi="Times New Roman" w:eastAsia="方正仿宋_GBK" w:cs="Times New Roman"/>
          <w:szCs w:val="32"/>
        </w:rPr>
        <w:t>促进和保障居民就业、养老、教育、居住、医疗等民生事业发展，全力支持乡村振兴。全年民生支出133,642万元，占一般公共预算支出的82.4%，其中：安排农林水支出29,622万元，占一般公共预算支出的18.3%；安排教育支出36,291万元，占一般公共预算支出的22.4%；安排卫生健康支出15,439万元，占一般公共预算支出的9.5%；安排社会保障和就业支出32,443万元，占一般公共预算支出的20.0%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二是突出化债务防风险，</w:t>
      </w:r>
      <w:r>
        <w:rPr>
          <w:rFonts w:hint="default" w:ascii="Times New Roman" w:hAnsi="Times New Roman" w:eastAsia="方正仿宋_GBK" w:cs="Times New Roman"/>
          <w:kern w:val="21"/>
          <w:szCs w:val="32"/>
        </w:rPr>
        <w:t>把债务风险防控摆在更加突出位置，严格履行偿债主体责任，按照《峨山县防范化解地方债务风险总体方案》，不断健全债务风险防控机制，</w:t>
      </w:r>
      <w:r>
        <w:rPr>
          <w:rFonts w:hint="default" w:ascii="Times New Roman" w:hAnsi="Times New Roman" w:eastAsia="方正仿宋_GBK" w:cs="Times New Roman"/>
          <w:szCs w:val="32"/>
        </w:rPr>
        <w:t>稳妥化解存量、控制增量，</w:t>
      </w:r>
      <w:r>
        <w:rPr>
          <w:rFonts w:hint="default" w:ascii="Times New Roman" w:hAnsi="Times New Roman" w:eastAsia="方正仿宋_GBK" w:cs="Times New Roman"/>
          <w:kern w:val="21"/>
          <w:szCs w:val="32"/>
        </w:rPr>
        <w:t>坚决防范和遏制债务风险事件发生，确保债务风险持续稳步下降。</w:t>
      </w:r>
      <w:r>
        <w:rPr>
          <w:rFonts w:hint="default" w:ascii="Times New Roman" w:hAnsi="Times New Roman" w:eastAsia="方正仿宋_GBK" w:cs="Times New Roman"/>
          <w:szCs w:val="32"/>
        </w:rPr>
        <w:t>全年完成债务偿还16,365万元，占一般公共预算支出的10.1%。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三是突出抓整改强落实，</w:t>
      </w:r>
      <w:r>
        <w:rPr>
          <w:rFonts w:hint="default" w:ascii="Times New Roman" w:hAnsi="Times New Roman" w:eastAsia="方正仿宋_GBK" w:cs="Times New Roman"/>
          <w:szCs w:val="32"/>
        </w:rPr>
        <w:t>坚决落实各级巡视、督查督导、审计等整改事项，按照全年剩余可统筹财力测算，逐步安排整改事项支出。全年完成教育类、农业类、社保类等各项民生项目整改支出11,555万元，占一般公共预算支出的7.1%。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四是突出重绩效优支出。</w:t>
      </w:r>
      <w:r>
        <w:rPr>
          <w:rFonts w:hint="default" w:ascii="Times New Roman" w:hAnsi="Times New Roman" w:eastAsia="方正仿宋_GBK" w:cs="Times New Roman"/>
          <w:szCs w:val="32"/>
        </w:rPr>
        <w:t>强化对重</w:t>
      </w:r>
      <w:r>
        <w:rPr>
          <w:rFonts w:hint="default" w:ascii="Times New Roman" w:hAnsi="Times New Roman" w:eastAsia="方正仿宋_GBK" w:cs="Times New Roman"/>
          <w:bCs/>
          <w:szCs w:val="32"/>
        </w:rPr>
        <w:t>大投资项目、重点支出的事前绩效评估工作，及时取消或修正无效项目，切实避免财政资金闲置沉淀和损失浪费，提高资金使用效益。2023年对5个项目开展了事前绩效评估，节约资金48万元。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（四）在财政管理中深化改革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坚定不移深化财税体制改革，充分发挥财政职能作用。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一是</w:t>
      </w:r>
      <w:r>
        <w:rPr>
          <w:rFonts w:hint="default" w:ascii="Times New Roman" w:hAnsi="Times New Roman" w:eastAsia="方正仿宋_GBK" w:cs="Times New Roman"/>
          <w:b/>
          <w:szCs w:val="32"/>
        </w:rPr>
        <w:t>县乡财政体制改革成效显著。</w:t>
      </w:r>
      <w:r>
        <w:rPr>
          <w:rFonts w:hint="default" w:ascii="Times New Roman" w:hAnsi="Times New Roman" w:eastAsia="方正仿宋_GBK" w:cs="Times New Roman"/>
          <w:szCs w:val="32"/>
        </w:rPr>
        <w:t>各乡镇（街道）围绕收支基数和激励机制，采取一系列措施，充分挖掘自身潜力、发挥自身优势，在改革推进、责任落实、成效取得方面都有了新的突破。2023年，化念镇、甸中镇2个乡镇实现超收。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二是国有企业改革再上新台阶。</w:t>
      </w:r>
      <w:r>
        <w:rPr>
          <w:rFonts w:hint="default" w:ascii="Times New Roman" w:hAnsi="Times New Roman" w:eastAsia="方正仿宋_GBK" w:cs="Times New Roman"/>
          <w:szCs w:val="32"/>
        </w:rPr>
        <w:t>认真落实全省国企改革发展大会部署，</w:t>
      </w:r>
      <w:r>
        <w:rPr>
          <w:rFonts w:hint="default" w:ascii="Times New Roman" w:hAnsi="Times New Roman" w:eastAsia="方正仿宋_GBK" w:cs="Times New Roman"/>
          <w:spacing w:val="6"/>
          <w:szCs w:val="32"/>
        </w:rPr>
        <w:t>坚持和加强党对国有企业的领导</w:t>
      </w:r>
      <w:r>
        <w:rPr>
          <w:rFonts w:hint="default" w:ascii="Times New Roman" w:hAnsi="Times New Roman" w:eastAsia="方正仿宋_GBK" w:cs="Times New Roman"/>
          <w:szCs w:val="32"/>
        </w:rPr>
        <w:t>，围绕“管理、发展、脱困、改革”4个重点，</w:t>
      </w:r>
      <w:r>
        <w:rPr>
          <w:rFonts w:hint="default" w:ascii="Times New Roman" w:hAnsi="Times New Roman" w:eastAsia="方正仿宋_GBK" w:cs="Times New Roman"/>
          <w:spacing w:val="6"/>
          <w:szCs w:val="32"/>
        </w:rPr>
        <w:t>启动新一轮国企改革发展三年行动。</w:t>
      </w:r>
      <w:r>
        <w:rPr>
          <w:rFonts w:hint="default" w:ascii="Times New Roman" w:hAnsi="Times New Roman" w:eastAsia="方正仿宋_GBK" w:cs="Times New Roman"/>
          <w:szCs w:val="32"/>
        </w:rPr>
        <w:t>年末全县国资委监管企业国有资产总额3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Cs w:val="32"/>
        </w:rPr>
        <w:t>,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793</w:t>
      </w:r>
      <w:r>
        <w:rPr>
          <w:rFonts w:hint="default" w:ascii="Times New Roman" w:hAnsi="Times New Roman" w:eastAsia="方正仿宋_GBK" w:cs="Times New Roman"/>
          <w:szCs w:val="32"/>
        </w:rPr>
        <w:t>万元，同比增长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Cs w:val="32"/>
        </w:rPr>
        <w:t>%；负债总额1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szCs w:val="32"/>
        </w:rPr>
        <w:t>,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940</w:t>
      </w:r>
      <w:r>
        <w:rPr>
          <w:rFonts w:hint="default" w:ascii="Times New Roman" w:hAnsi="Times New Roman" w:eastAsia="方正仿宋_GBK" w:cs="Times New Roman"/>
          <w:szCs w:val="32"/>
        </w:rPr>
        <w:t>万元，同比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增长29</w:t>
      </w:r>
      <w:r>
        <w:rPr>
          <w:rFonts w:hint="default" w:ascii="Times New Roman" w:hAnsi="Times New Roman" w:eastAsia="方正仿宋_GBK" w:cs="Times New Roman"/>
          <w:szCs w:val="32"/>
        </w:rPr>
        <w:t>%；所有者权益总额13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Cs w:val="32"/>
        </w:rPr>
        <w:t>,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853</w:t>
      </w:r>
      <w:r>
        <w:rPr>
          <w:rFonts w:hint="default" w:ascii="Times New Roman" w:hAnsi="Times New Roman" w:eastAsia="方正仿宋_GBK" w:cs="Times New Roman"/>
          <w:szCs w:val="32"/>
        </w:rPr>
        <w:t>万元，同比增长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Cs w:val="32"/>
        </w:rPr>
        <w:t>%；资产负债率5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Cs w:val="32"/>
        </w:rPr>
        <w:t>%，同比下降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</w:rPr>
        <w:t>%；全县企业实现营业收入7,880万元；上缴税费1,597万元，其中：增值税261万元，所得税145万元；国有资本保值增值率131%，同比上升65个百分点。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三是国库管理改革持续走深走实。</w:t>
      </w:r>
      <w:r>
        <w:rPr>
          <w:rFonts w:hint="default" w:ascii="Times New Roman" w:hAnsi="Times New Roman" w:eastAsia="方正仿宋_GBK" w:cs="Times New Roman"/>
          <w:szCs w:val="32"/>
        </w:rPr>
        <w:t>与人行形成库款日报机制，结合预算指标核算管理系统安排调度库底资金。按照省厅预算执行优先管控顺序要求，认真研究预算执行优先管控17项规则，科学调整库底资金使用计划，提高库款保障效率，全面兜实“三保”底线。单位资金管理工作实现常态化，预算单位资金管理不断规范。差旅电子凭证网上报销改革工作持续推进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四是全面深化生态保护补偿制度改革。</w:t>
      </w:r>
      <w:r>
        <w:rPr>
          <w:rFonts w:hint="default" w:ascii="Times New Roman" w:hAnsi="Times New Roman" w:eastAsia="方正仿宋_GBK" w:cs="Times New Roman"/>
          <w:szCs w:val="32"/>
        </w:rPr>
        <w:t>建立健全科学合理的生态补偿机制，研究制定《峨山县关于深化生态保护补偿制度改革的实施方案》，围绕5个领域提出13条措施，逐步完善政府统领、企业施治、市场驱动、公众参与的环境保护机制，为推进峨山生态文明示范县建设、促进全县经济社会发展全面绿色转型提供有力保障。</w:t>
      </w:r>
      <w:r>
        <w:rPr>
          <w:rFonts w:hint="default" w:ascii="Times New Roman" w:hAnsi="Times New Roman" w:eastAsia="方正仿宋_GBK" w:cs="Times New Roman"/>
          <w:b/>
          <w:bCs/>
          <w:szCs w:val="32"/>
        </w:rPr>
        <w:t>五是稳步推进非税收入收缴电子化改革。</w:t>
      </w:r>
      <w:r>
        <w:rPr>
          <w:rFonts w:hint="default" w:ascii="Times New Roman" w:hAnsi="Times New Roman" w:eastAsia="方正仿宋_GBK" w:cs="Times New Roman"/>
          <w:szCs w:val="32"/>
        </w:rPr>
        <w:t>坚持以“非税收入管理提质增效”为主线，稳步推进非税收缴电子化改革，形成“电子化管理”“互联网+服务”“以查促改、以查促收”的规范化非税收入管理体制，推动实现非税收入收缴更便民、管理更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以上报告，请予审查。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textAlignment w:val="auto"/>
        <w:rPr>
          <w:rFonts w:hint="eastAsia" w:ascii="Times New Roman" w:hAnsi="Times New Roman" w:eastAsia="方正仿宋_GBK" w:cs="Times New Roman"/>
          <w:spacing w:val="1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5"/>
        <w:spacing w:line="596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ascii="Arial" w:hAnsi="Arial" w:eastAsia="Arial" w:cs="Arial"/>
          <w:b/>
          <w:sz w:val="36"/>
        </w:rPr>
      </w:pPr>
      <w:r>
        <w:rPr>
          <w:rFonts w:ascii="Arial" w:hAnsi="Arial" w:eastAsia="Arial" w:cs="Arial"/>
          <w:b/>
          <w:sz w:val="36"/>
        </w:rPr>
        <w:t>监督索引号53042603100011111</w:t>
      </w:r>
    </w:p>
    <w:sectPr>
      <w:footerReference r:id="rId3" w:type="default"/>
      <w:pgSz w:w="11906" w:h="16838"/>
      <w:pgMar w:top="2041" w:right="1474" w:bottom="1304" w:left="1587" w:header="136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615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65pt;mso-position-horizontal:outside;mso-position-horizontal-relative:margin;z-index:251659264;mso-width-relative:page;mso-height-relative:page;" filled="f" stroked="f" coordsize="21600,21600" o:gfxdata="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lL2oV1AAAAAUBAAAPAAAAAAAAAAEAIAAAACIAAABkcnMvZG93bnJl&#10;di54bWxQSwECFAAUAAAACACHTuJAUkDFbjoCAABkBAAADgAAAAAAAAABACAAAAAj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280" w:firstLine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FA2E49"/>
    <w:rsid w:val="000E540E"/>
    <w:rsid w:val="001A6DE9"/>
    <w:rsid w:val="001C3B06"/>
    <w:rsid w:val="001E13B1"/>
    <w:rsid w:val="00241B49"/>
    <w:rsid w:val="0027288E"/>
    <w:rsid w:val="004F6583"/>
    <w:rsid w:val="005B3C78"/>
    <w:rsid w:val="007A0B43"/>
    <w:rsid w:val="007B606C"/>
    <w:rsid w:val="008E59A8"/>
    <w:rsid w:val="00962092"/>
    <w:rsid w:val="00964F78"/>
    <w:rsid w:val="00A31876"/>
    <w:rsid w:val="00E934DB"/>
    <w:rsid w:val="00FA2ACB"/>
    <w:rsid w:val="13A7230D"/>
    <w:rsid w:val="19FA2E49"/>
    <w:rsid w:val="1EE82CF8"/>
    <w:rsid w:val="1F3648D0"/>
    <w:rsid w:val="20BF44EF"/>
    <w:rsid w:val="21C557C7"/>
    <w:rsid w:val="2F4B45A3"/>
    <w:rsid w:val="2FAED930"/>
    <w:rsid w:val="343931EF"/>
    <w:rsid w:val="37FBB620"/>
    <w:rsid w:val="3E5E6E9B"/>
    <w:rsid w:val="3EC63F1C"/>
    <w:rsid w:val="3EEA675F"/>
    <w:rsid w:val="3EEB343F"/>
    <w:rsid w:val="3F695E37"/>
    <w:rsid w:val="5ACF35F7"/>
    <w:rsid w:val="5DD7C40E"/>
    <w:rsid w:val="6B5C18E9"/>
    <w:rsid w:val="6CED0A9D"/>
    <w:rsid w:val="761F03EB"/>
    <w:rsid w:val="76322A95"/>
    <w:rsid w:val="79F7088D"/>
    <w:rsid w:val="7D08503D"/>
    <w:rsid w:val="7FD82F57"/>
    <w:rsid w:val="7FFF11E9"/>
    <w:rsid w:val="DF3E021F"/>
    <w:rsid w:val="FA971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widowControl/>
      <w:ind w:firstLine="420"/>
    </w:pPr>
    <w:rPr>
      <w:sz w:val="28"/>
    </w:rPr>
  </w:style>
  <w:style w:type="paragraph" w:styleId="3">
    <w:name w:val="Body Text"/>
    <w:basedOn w:val="1"/>
    <w:next w:val="4"/>
    <w:unhideWhenUsed/>
    <w:qFormat/>
    <w:uiPriority w:val="99"/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kern w:val="0"/>
      <w:sz w:val="28"/>
    </w:rPr>
  </w:style>
  <w:style w:type="paragraph" w:customStyle="1" w:styleId="14">
    <w:name w:val="TOC2"/>
    <w:basedOn w:val="1"/>
    <w:next w:val="1"/>
    <w:qFormat/>
    <w:uiPriority w:val="0"/>
    <w:pPr>
      <w:ind w:left="200" w:leftChars="200"/>
    </w:p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ascii="宋体" w:hAnsi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C5A1B-1077-4B9F-A796-4A04CE2AA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玉溪市峨山县党政机关单位</Company>
  <Pages>19</Pages>
  <Words>1420</Words>
  <Characters>8098</Characters>
  <Lines>67</Lines>
  <Paragraphs>18</Paragraphs>
  <TotalTime>1</TotalTime>
  <ScaleCrop>false</ScaleCrop>
  <LinksUpToDate>false</LinksUpToDate>
  <CharactersWithSpaces>9500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2021-03-11T08:26:00Z</dcterms:created>
  <dc:creator>马宇航</dc:creator>
  <cp:lastModifiedBy>Administrator</cp:lastModifiedBy>
  <dcterms:modified xsi:type="dcterms:W3CDTF">2024-09-12T02:07:37Z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DEF1599D53F2461AAB89EA93F031DACB</vt:lpwstr>
  </property>
  <property fmtid="{D5CDD505-2E9C-101B-9397-08002B2CF9AE}" pid="3" name="KSOProductBuildVer">
    <vt:lpwstr>2052-11.8.2.12085</vt:lpwstr>
  </property>
  <property fmtid="{D5CDD505-2E9C-101B-9397-08002B2CF9AE}" pid="4" name="KSOSaveFontToCloudKey">
    <vt:lpwstr>214008521_cloud</vt:lpwstr>
  </property>
</Properties>
</file>