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3D1F6">
      <w:pPr>
        <w:pStyle w:val="18"/>
        <w:widowControl/>
        <w:shd w:val="clear" w:color="auto" w:fill="FFFFFF"/>
        <w:spacing w:beforeAutospacing="0" w:after="300" w:afterAutospacing="0" w:line="360" w:lineRule="auto"/>
        <w:jc w:val="center"/>
        <w:outlineLvl w:val="0"/>
        <w:rPr>
          <w:rFonts w:hint="eastAsia" w:ascii="方正小标宋简体" w:hAnsi="方正小标宋简体" w:eastAsia="方正小标宋简体" w:cs="方正小标宋简体"/>
          <w:b w:val="0"/>
          <w:bCs w:val="0"/>
          <w:color w:val="000000" w:themeColor="text1"/>
          <w:sz w:val="42"/>
          <w:szCs w:val="42"/>
          <w:highlight w:val="none"/>
          <w:shd w:val="clear" w:color="auto" w:fill="FFFFFF"/>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2"/>
          <w:szCs w:val="42"/>
          <w:highlight w:val="none"/>
          <w:shd w:val="clear" w:color="auto" w:fill="FFFFFF"/>
          <w14:textFill>
            <w14:solidFill>
              <w14:schemeClr w14:val="tx1"/>
            </w14:solidFill>
          </w14:textFill>
        </w:rPr>
        <w:t>关于划定</w:t>
      </w:r>
      <w:r>
        <w:rPr>
          <w:rFonts w:hint="eastAsia" w:ascii="方正小标宋简体" w:hAnsi="方正小标宋简体" w:eastAsia="方正小标宋简体" w:cs="方正小标宋简体"/>
          <w:b w:val="0"/>
          <w:bCs w:val="0"/>
          <w:color w:val="000000" w:themeColor="text1"/>
          <w:sz w:val="42"/>
          <w:szCs w:val="42"/>
          <w:highlight w:val="none"/>
          <w:shd w:val="clear" w:color="auto" w:fill="FFFFFF"/>
          <w:lang w:val="en-US" w:eastAsia="zh-CN"/>
          <w14:textFill>
            <w14:solidFill>
              <w14:schemeClr w14:val="tx1"/>
            </w14:solidFill>
          </w14:textFill>
        </w:rPr>
        <w:t>峨山县</w:t>
      </w:r>
      <w:r>
        <w:rPr>
          <w:rFonts w:hint="eastAsia" w:ascii="方正小标宋简体" w:hAnsi="方正小标宋简体" w:eastAsia="方正小标宋简体" w:cs="方正小标宋简体"/>
          <w:b w:val="0"/>
          <w:bCs w:val="0"/>
          <w:color w:val="000000" w:themeColor="text1"/>
          <w:sz w:val="42"/>
          <w:szCs w:val="42"/>
          <w:highlight w:val="none"/>
          <w:shd w:val="clear" w:color="auto" w:fill="FFFFFF"/>
          <w14:textFill>
            <w14:solidFill>
              <w14:schemeClr w14:val="tx1"/>
            </w14:solidFill>
          </w14:textFill>
        </w:rPr>
        <w:t>禁止开垦陡坡地范围的</w:t>
      </w:r>
    </w:p>
    <w:p w14:paraId="302814D9">
      <w:pPr>
        <w:pStyle w:val="18"/>
        <w:widowControl/>
        <w:shd w:val="clear" w:color="auto" w:fill="FFFFFF"/>
        <w:spacing w:beforeAutospacing="0" w:after="300" w:afterAutospacing="0" w:line="360" w:lineRule="auto"/>
        <w:jc w:val="center"/>
        <w:outlineLvl w:val="0"/>
        <w:rPr>
          <w:rFonts w:hint="eastAsia" w:ascii="方正小标宋简体" w:hAnsi="方正小标宋简体" w:eastAsia="方正小标宋简体" w:cs="方正小标宋简体"/>
          <w:b w:val="0"/>
          <w:bCs w:val="0"/>
          <w:color w:val="000000" w:themeColor="text1"/>
          <w:sz w:val="42"/>
          <w:szCs w:val="42"/>
          <w:highlight w:val="none"/>
          <w:shd w:val="clear" w:color="auto" w:fill="FFFFFF"/>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2"/>
          <w:szCs w:val="42"/>
          <w:highlight w:val="none"/>
          <w:shd w:val="clear" w:color="auto" w:fill="FFFFFF"/>
          <w14:textFill>
            <w14:solidFill>
              <w14:schemeClr w14:val="tx1"/>
            </w14:solidFill>
          </w14:textFill>
        </w:rPr>
        <w:t>起草说明</w:t>
      </w:r>
    </w:p>
    <w:p w14:paraId="4B9FC54C">
      <w:pPr>
        <w:pStyle w:val="18"/>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20" w:lineRule="exact"/>
        <w:ind w:firstLine="640" w:firstLineChars="200"/>
        <w:textAlignment w:val="auto"/>
        <w:outlineLvl w:val="0"/>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一、工作背景</w:t>
      </w:r>
    </w:p>
    <w:p w14:paraId="39BD48CA">
      <w:pPr>
        <w:pStyle w:val="18"/>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2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深入</w:t>
      </w:r>
      <w:r>
        <w:rPr>
          <w:rFonts w:hint="eastAsia" w:ascii="仿宋_GB2312" w:hAnsi="仿宋_GB2312" w:eastAsia="仿宋_GB2312" w:cs="仿宋_GB2312"/>
          <w:color w:val="000000" w:themeColor="text1"/>
          <w:sz w:val="32"/>
          <w:szCs w:val="32"/>
          <w:highlight w:val="none"/>
          <w14:textFill>
            <w14:solidFill>
              <w14:schemeClr w14:val="tx1"/>
            </w14:solidFill>
          </w14:textFill>
        </w:rPr>
        <w:t>贯彻《中华人民共和国水土保持法》（主席令第39号），全面落实《中共中央办公厅 国务院办公厅印发〈关于加强新时代水土保持工作的意见〉的通知》（中办发〔2022〕68号）及《水利部关于加强水土保持空间管控的意见》（水保〔2024〕4号）文件精神，根据《水利部办公厅关于印发水土保持重点区域划定技术指南的通知》（办水保〔2024〕2号）《云南省水利厅关于印发水土保持重点区域划定技术方案的通知》（云水保〔2024〕12号）具体要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峨山县</w:t>
      </w:r>
      <w:r>
        <w:rPr>
          <w:rFonts w:hint="eastAsia" w:ascii="仿宋_GB2312" w:hAnsi="仿宋_GB2312" w:eastAsia="仿宋_GB2312" w:cs="仿宋_GB2312"/>
          <w:color w:val="000000" w:themeColor="text1"/>
          <w:sz w:val="32"/>
          <w:szCs w:val="32"/>
          <w:highlight w:val="none"/>
          <w14:textFill>
            <w14:solidFill>
              <w14:schemeClr w14:val="tx1"/>
            </w14:solidFill>
          </w14:textFill>
        </w:rPr>
        <w:t>全面启动禁止开垦陡坡地范围划定工作。</w:t>
      </w:r>
    </w:p>
    <w:p w14:paraId="40BB675E">
      <w:pPr>
        <w:pStyle w:val="18"/>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20" w:lineRule="exact"/>
        <w:ind w:firstLine="640" w:firstLineChars="200"/>
        <w:textAlignment w:val="auto"/>
        <w:outlineLvl w:val="0"/>
        <w:rPr>
          <w:rFonts w:hint="eastAsia" w:ascii="黑体" w:hAnsi="黑体" w:eastAsia="黑体" w:cs="黑体"/>
          <w:color w:val="000000" w:themeColor="text1"/>
          <w:sz w:val="32"/>
          <w:szCs w:val="32"/>
          <w:highlight w:val="none"/>
          <w:lang w:bidi="ar"/>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二、划定依据</w:t>
      </w:r>
    </w:p>
    <w:p w14:paraId="5BA4E2CD">
      <w:pPr>
        <w:pStyle w:val="1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300" w:afterAutospacing="0" w:line="520" w:lineRule="exact"/>
        <w:ind w:firstLine="640" w:firstLineChars="200"/>
        <w:textAlignment w:val="auto"/>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《中华人民共和国水土保持法》第二十条规定：禁止在二十五度以上陡坡地开垦种植农作物。禁止开垦的陡坡地的范围由当地县级人民政府划定并公告。</w:t>
      </w:r>
    </w:p>
    <w:p w14:paraId="7D1337AF">
      <w:pPr>
        <w:pStyle w:val="1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300" w:afterAutospacing="0" w:line="520" w:lineRule="exact"/>
        <w:ind w:firstLine="640" w:firstLineChars="200"/>
        <w:textAlignment w:val="auto"/>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水利部关于加强水土保持空间管控的意见》（水保〔2024〕4号）要求，各省级水行政主管部门要加强组织协调和技术指导，督促指导辖区内各县级行政区在2025年底前全面完成禁止开垦陡坡地范围的划定和公告工作。</w:t>
      </w:r>
    </w:p>
    <w:p w14:paraId="3BBA632F">
      <w:pPr>
        <w:pStyle w:val="1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300" w:afterAutospacing="0" w:line="520" w:lineRule="exact"/>
        <w:ind w:firstLine="640" w:firstLineChars="200"/>
        <w:textAlignment w:val="auto"/>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云南省水利厅印发</w:t>
      </w:r>
      <w:r>
        <w:rPr>
          <w:rFonts w:hint="eastAsia" w:ascii="仿宋_GB2312" w:hAnsi="仿宋_GB2312" w:eastAsia="仿宋_GB2312" w:cs="仿宋_GB2312"/>
          <w:color w:val="000000" w:themeColor="text1"/>
          <w:sz w:val="32"/>
          <w:szCs w:val="32"/>
          <w:highlight w:val="none"/>
          <w14:textFill>
            <w14:solidFill>
              <w14:schemeClr w14:val="tx1"/>
            </w14:solidFill>
          </w14:textFill>
        </w:rPr>
        <w:t>《云南省水利厅关于印发水土保持重点区域划定技术方案的通知》（云水保〔2024〕12号）</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，要求2025年12月底前完成</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我</w:t>
      </w:r>
      <w:r>
        <w:rPr>
          <w:rFonts w:hint="eastAsia" w:ascii="仿宋_GB2312" w:hAnsi="仿宋_GB2312" w:eastAsia="仿宋_GB2312" w:cs="仿宋_GB2312"/>
          <w:color w:val="000000" w:themeColor="text1"/>
          <w:sz w:val="32"/>
          <w:szCs w:val="32"/>
          <w:highlight w:val="none"/>
          <w:lang w:val="en-US" w:eastAsia="zh-CN" w:bidi="ar"/>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禁止开垦陡坡地范围划定和公告工作。</w:t>
      </w:r>
    </w:p>
    <w:p w14:paraId="4C57AB65">
      <w:pPr>
        <w:keepNext w:val="0"/>
        <w:keepLines w:val="0"/>
        <w:pageBreakBefore w:val="0"/>
        <w:kinsoku/>
        <w:wordWrap/>
        <w:overflowPunct/>
        <w:topLinePunct w:val="0"/>
        <w:autoSpaceDE/>
        <w:autoSpaceDN/>
        <w:bidi w:val="0"/>
        <w:adjustRightInd/>
        <w:snapToGrid/>
        <w:spacing w:line="520" w:lineRule="exact"/>
        <w:ind w:firstLine="640" w:firstLineChars="200"/>
        <w:textAlignment w:val="auto"/>
        <w:outlineLvl w:val="0"/>
        <w:rPr>
          <w:rFonts w:hint="eastAsia" w:ascii="黑体" w:hAnsi="黑体" w:eastAsia="黑体" w:cs="黑体"/>
          <w:color w:val="000000" w:themeColor="text1"/>
          <w:kern w:val="0"/>
          <w:sz w:val="32"/>
          <w:szCs w:val="32"/>
          <w:highlight w:val="none"/>
          <w:lang w:bidi="ar"/>
          <w14:textFill>
            <w14:solidFill>
              <w14:schemeClr w14:val="tx1"/>
            </w14:solidFill>
          </w14:textFill>
        </w:rPr>
      </w:pPr>
      <w:r>
        <w:rPr>
          <w:rFonts w:hint="eastAsia" w:ascii="黑体" w:hAnsi="黑体" w:eastAsia="黑体" w:cs="黑体"/>
          <w:color w:val="000000" w:themeColor="text1"/>
          <w:kern w:val="0"/>
          <w:sz w:val="32"/>
          <w:szCs w:val="32"/>
          <w:highlight w:val="none"/>
          <w:lang w:bidi="ar"/>
          <w14:textFill>
            <w14:solidFill>
              <w14:schemeClr w14:val="tx1"/>
            </w14:solidFill>
          </w14:textFill>
        </w:rPr>
        <w:t>三、划定过程</w:t>
      </w:r>
    </w:p>
    <w:p w14:paraId="45D7C84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结合我</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县</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实际，于2024年</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7-</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10月组织开展</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峨山县</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禁止开垦陡坡地范围划定工作，2024年12月完成初步成果后上报省水利厅；2025年6月，根据《禁止开垦陡坡地范围划定初步成果省级技术复核意见》完成修改；7-</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10</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月陆续完成乡镇</w:t>
      </w:r>
      <w:r>
        <w:rPr>
          <w:rFonts w:hint="eastAsia" w:ascii="仿宋_GB2312" w:hAnsi="仿宋_GB2312" w:eastAsia="仿宋_GB2312" w:cs="仿宋_GB2312"/>
          <w:color w:val="000000" w:themeColor="text1"/>
          <w:kern w:val="0"/>
          <w:sz w:val="32"/>
          <w:szCs w:val="32"/>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街道</w:t>
      </w:r>
      <w:r>
        <w:rPr>
          <w:rFonts w:hint="eastAsia" w:ascii="仿宋_GB2312" w:hAnsi="仿宋_GB2312" w:eastAsia="仿宋_GB2312" w:cs="仿宋_GB2312"/>
          <w:color w:val="000000" w:themeColor="text1"/>
          <w:kern w:val="0"/>
          <w:sz w:val="32"/>
          <w:szCs w:val="32"/>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复核及</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市</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级相关部门征求意见，1</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月根据意见修改完善后形成划定成果。</w:t>
      </w:r>
    </w:p>
    <w:p w14:paraId="40D5832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根据《云南省水土保持生态环境监测总站关于反馈禁止开垦陡坡地范围划定成果审核意见的函》（</w:t>
      </w:r>
      <w:r>
        <w:rPr>
          <w:rFonts w:hint="eastAsia" w:ascii="仿宋_GB2312" w:hAnsi="仿宋_GB2312" w:eastAsia="仿宋_GB2312" w:cs="仿宋_GB2312"/>
          <w:color w:val="000000" w:themeColor="text1"/>
          <w:sz w:val="32"/>
          <w:szCs w:val="32"/>
          <w:highlight w:val="none"/>
          <w14:textFill>
            <w14:solidFill>
              <w14:schemeClr w14:val="tx1"/>
            </w14:solidFill>
          </w14:textFill>
        </w:rPr>
        <w:t>2025年1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我县</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禁止开垦陡坡地划定资料齐全、翔实</w:t>
      </w:r>
      <w:r>
        <w:rPr>
          <w:rFonts w:hint="eastAsia" w:ascii="仿宋_GB2312" w:hAnsi="仿宋_GB2312" w:eastAsia="仿宋_GB2312" w:cs="仿宋_GB2312"/>
          <w:color w:val="000000" w:themeColor="text1"/>
          <w:kern w:val="0"/>
          <w:sz w:val="32"/>
          <w:szCs w:val="32"/>
          <w:highlight w:val="none"/>
          <w:lang w:eastAsia="zh-CN" w:bidi="ar"/>
          <w14:textFill>
            <w14:solidFill>
              <w14:schemeClr w14:val="tx1"/>
            </w14:solidFill>
          </w14:textFill>
        </w:rPr>
        <w:t>，划定技术路线、划定方法、划定指标正确，符合水利部、省级划定技术指南（方案）规定，经征求相关部门及乡镇（</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街道</w:t>
      </w:r>
      <w:r>
        <w:rPr>
          <w:rFonts w:hint="eastAsia" w:ascii="仿宋_GB2312" w:hAnsi="仿宋_GB2312" w:eastAsia="仿宋_GB2312" w:cs="仿宋_GB2312"/>
          <w:color w:val="000000" w:themeColor="text1"/>
          <w:kern w:val="0"/>
          <w:sz w:val="32"/>
          <w:szCs w:val="32"/>
          <w:highlight w:val="none"/>
          <w:lang w:eastAsia="zh-CN" w:bidi="ar"/>
          <w14:textFill>
            <w14:solidFill>
              <w14:schemeClr w14:val="tx1"/>
            </w14:solidFill>
          </w14:textFill>
        </w:rPr>
        <w:t>）意见后，范围复核调整、边界修正基本合规</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，符合</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公示</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要求。</w:t>
      </w:r>
    </w:p>
    <w:p w14:paraId="0BBDD51F">
      <w:pPr>
        <w:keepNext w:val="0"/>
        <w:keepLines w:val="0"/>
        <w:pageBreakBefore w:val="0"/>
        <w:kinsoku/>
        <w:wordWrap/>
        <w:overflowPunct/>
        <w:topLinePunct w:val="0"/>
        <w:autoSpaceDE/>
        <w:autoSpaceDN/>
        <w:bidi w:val="0"/>
        <w:adjustRightInd/>
        <w:snapToGrid/>
        <w:spacing w:line="520" w:lineRule="exact"/>
        <w:textAlignment w:val="auto"/>
        <w:rPr>
          <w:rFonts w:hint="eastAsia" w:ascii="黑体" w:hAnsi="黑体" w:eastAsia="黑体" w:cs="黑体"/>
          <w:color w:val="000000" w:themeColor="text1"/>
          <w:kern w:val="0"/>
          <w:sz w:val="32"/>
          <w:szCs w:val="32"/>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 xml:space="preserve">    </w:t>
      </w:r>
      <w:r>
        <w:rPr>
          <w:rFonts w:hint="eastAsia" w:ascii="黑体" w:hAnsi="黑体" w:eastAsia="黑体" w:cs="黑体"/>
          <w:color w:val="000000" w:themeColor="text1"/>
          <w:kern w:val="0"/>
          <w:sz w:val="32"/>
          <w:szCs w:val="32"/>
          <w:highlight w:val="none"/>
          <w:lang w:bidi="ar"/>
          <w14:textFill>
            <w14:solidFill>
              <w14:schemeClr w14:val="tx1"/>
            </w14:solidFill>
          </w14:textFill>
        </w:rPr>
        <w:t>四、划定成果</w:t>
      </w:r>
    </w:p>
    <w:p w14:paraId="7E73AF3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峨山县</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禁止开垦陡坡地范围划定面积</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59238.1</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hm</w:t>
      </w:r>
      <w:r>
        <w:rPr>
          <w:rFonts w:hint="eastAsia" w:ascii="仿宋_GB2312" w:hAnsi="仿宋_GB2312" w:eastAsia="仿宋_GB2312" w:cs="仿宋_GB2312"/>
          <w:color w:val="000000" w:themeColor="text1"/>
          <w:kern w:val="0"/>
          <w:sz w:val="32"/>
          <w:szCs w:val="32"/>
          <w:highlight w:val="none"/>
          <w:vertAlign w:val="superscript"/>
          <w:lang w:bidi="ar"/>
          <w14:textFill>
            <w14:solidFill>
              <w14:schemeClr w14:val="tx1"/>
            </w14:solidFill>
          </w14:textFill>
        </w:rPr>
        <w:t>2</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，共形成</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988</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个图斑。涉及</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8</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个乡镇（街道）</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72</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个行政村（社区），土地利用类型主要涉及林地、草地（以及裸土地）。</w:t>
      </w:r>
    </w:p>
    <w:p w14:paraId="05818A41">
      <w:pPr>
        <w:keepNext w:val="0"/>
        <w:keepLines w:val="0"/>
        <w:pageBreakBefore w:val="0"/>
        <w:kinsoku/>
        <w:wordWrap/>
        <w:overflowPunct/>
        <w:topLinePunct w:val="0"/>
        <w:autoSpaceDE/>
        <w:autoSpaceDN/>
        <w:bidi w:val="0"/>
        <w:adjustRightInd/>
        <w:snapToGrid/>
        <w:spacing w:line="520" w:lineRule="exact"/>
        <w:ind w:firstLine="640" w:firstLineChars="200"/>
        <w:textAlignment w:val="auto"/>
        <w:outlineLvl w:val="0"/>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pPr>
      <w:r>
        <w:rPr>
          <w:rFonts w:hint="eastAsia" w:ascii="黑体" w:hAnsi="黑体" w:eastAsia="黑体" w:cs="黑体"/>
          <w:color w:val="000000" w:themeColor="text1"/>
          <w:kern w:val="0"/>
          <w:sz w:val="32"/>
          <w:szCs w:val="32"/>
          <w:highlight w:val="none"/>
          <w:lang w:bidi="ar"/>
          <w14:textFill>
            <w14:solidFill>
              <w14:schemeClr w14:val="tx1"/>
            </w14:solidFill>
          </w14:textFill>
        </w:rPr>
        <w:t>五、主要内容</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w:t>
      </w:r>
    </w:p>
    <w:p w14:paraId="4416127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本公告事项主要包括五条内容和两个附件。</w:t>
      </w:r>
    </w:p>
    <w:p w14:paraId="6340E64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第一条明确了禁止开垦陡坡地划定面积为9</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59238.1</w:t>
      </w:r>
      <w:bookmarkStart w:id="0" w:name="_GoBack"/>
      <w:bookmarkEnd w:id="0"/>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hm</w:t>
      </w:r>
      <w:r>
        <w:rPr>
          <w:rFonts w:hint="eastAsia" w:ascii="仿宋_GB2312" w:hAnsi="仿宋_GB2312" w:eastAsia="仿宋_GB2312" w:cs="仿宋_GB2312"/>
          <w:color w:val="000000" w:themeColor="text1"/>
          <w:kern w:val="0"/>
          <w:sz w:val="32"/>
          <w:szCs w:val="32"/>
          <w:highlight w:val="none"/>
          <w:vertAlign w:val="superscript"/>
          <w:lang w:bidi="ar"/>
          <w14:textFill>
            <w14:solidFill>
              <w14:schemeClr w14:val="tx1"/>
            </w14:solidFill>
          </w14:textFill>
        </w:rPr>
        <w:t>2</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，分布于</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8</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个乡镇（街道）</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72</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个行政村（社区）。</w:t>
      </w:r>
    </w:p>
    <w:p w14:paraId="5B5069C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第二条明确了具体禁止事项是禁止在划定的禁止开垦陡坡地范围开垦种植农作物。</w:t>
      </w:r>
    </w:p>
    <w:p w14:paraId="3007724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第三条对禁止区域种植经济林提出了水土保持要求：在25度以上禁止开垦陡坡地种植经济林的，应当科学选择树种，合理确定规模，采取水土保持措施，防止造成水土流失。</w:t>
      </w:r>
    </w:p>
    <w:p w14:paraId="17E14F7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第四条对禁止开垦陡坡地范围开垦种植农作物的违法行为明确了法律依据条款：按照《中华人民共和国水土保持法》第四十九条予以处罚。</w:t>
      </w:r>
    </w:p>
    <w:p w14:paraId="07CEB87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第五条对公告发布的执行日期做了明确规定。</w:t>
      </w:r>
    </w:p>
    <w:p w14:paraId="7C79EFA6">
      <w:pPr>
        <w:pStyle w:val="18"/>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附件主要为禁止开垦陡坡地</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划定</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范围</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示意图</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和禁止开垦陡坡地面积统计表。</w:t>
      </w:r>
    </w:p>
    <w:p w14:paraId="0438C403">
      <w:pPr>
        <w:pStyle w:val="11"/>
        <w:rPr>
          <w:rFonts w:ascii="仿宋" w:hAnsi="仿宋" w:eastAsia="仿宋" w:cs="仿宋"/>
          <w:color w:val="000000" w:themeColor="text1"/>
          <w:kern w:val="0"/>
          <w:sz w:val="24"/>
          <w:szCs w:val="24"/>
          <w:highlight w:val="none"/>
          <w:lang w:bidi="ar"/>
          <w14:textFill>
            <w14:solidFill>
              <w14:schemeClr w14:val="tx1"/>
            </w14:solidFill>
          </w14:textFill>
        </w:rPr>
      </w:pPr>
    </w:p>
    <w:p w14:paraId="0547415A">
      <w:pPr>
        <w:spacing w:line="580" w:lineRule="exact"/>
        <w:ind w:firstLine="480" w:firstLineChars="200"/>
        <w:rPr>
          <w:rFonts w:ascii="仿宋" w:hAnsi="仿宋" w:eastAsia="仿宋" w:cs="仿宋"/>
          <w:color w:val="000000" w:themeColor="text1"/>
          <w:kern w:val="0"/>
          <w:sz w:val="24"/>
          <w:szCs w:val="24"/>
          <w:highlight w:val="none"/>
          <w:lang w:bidi="ar"/>
          <w14:textFill>
            <w14:solidFill>
              <w14:schemeClr w14:val="tx1"/>
            </w14:solidFill>
          </w14:textFill>
        </w:rPr>
      </w:pPr>
    </w:p>
    <w:p w14:paraId="4A02EE9D">
      <w:pPr>
        <w:rPr>
          <w:rFonts w:ascii="仿宋" w:hAnsi="仿宋" w:eastAsia="仿宋" w:cs="仿宋"/>
          <w:color w:val="000000" w:themeColor="text1"/>
          <w:kern w:val="0"/>
          <w:sz w:val="24"/>
          <w:szCs w:val="24"/>
          <w:highlight w:val="none"/>
          <w:lang w:bidi="ar"/>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525"/>
    <w:rsid w:val="0010367C"/>
    <w:rsid w:val="001A2E96"/>
    <w:rsid w:val="00216BB9"/>
    <w:rsid w:val="00227320"/>
    <w:rsid w:val="002B4AF2"/>
    <w:rsid w:val="002E50D0"/>
    <w:rsid w:val="00320C97"/>
    <w:rsid w:val="004266C5"/>
    <w:rsid w:val="004D4CD0"/>
    <w:rsid w:val="005B17DB"/>
    <w:rsid w:val="005D3BA1"/>
    <w:rsid w:val="005E4BF7"/>
    <w:rsid w:val="006B763E"/>
    <w:rsid w:val="007440B5"/>
    <w:rsid w:val="00751695"/>
    <w:rsid w:val="007B2723"/>
    <w:rsid w:val="007B505C"/>
    <w:rsid w:val="00823BF0"/>
    <w:rsid w:val="008F4A2D"/>
    <w:rsid w:val="008F6936"/>
    <w:rsid w:val="009422CB"/>
    <w:rsid w:val="00A55C8E"/>
    <w:rsid w:val="00D61525"/>
    <w:rsid w:val="00DB55DD"/>
    <w:rsid w:val="00E1009E"/>
    <w:rsid w:val="00E57714"/>
    <w:rsid w:val="00EA763E"/>
    <w:rsid w:val="00EB4E83"/>
    <w:rsid w:val="00F67413"/>
    <w:rsid w:val="00FD5D54"/>
    <w:rsid w:val="0E4F7A5A"/>
    <w:rsid w:val="11795171"/>
    <w:rsid w:val="17F708E5"/>
    <w:rsid w:val="1A3916AB"/>
    <w:rsid w:val="3044547A"/>
    <w:rsid w:val="30F008ED"/>
    <w:rsid w:val="3405634C"/>
    <w:rsid w:val="39AA07E4"/>
    <w:rsid w:val="3A65333C"/>
    <w:rsid w:val="3B9A0AD5"/>
    <w:rsid w:val="3D7173F5"/>
    <w:rsid w:val="3E844D20"/>
    <w:rsid w:val="46724059"/>
    <w:rsid w:val="46F84A6D"/>
    <w:rsid w:val="49D27470"/>
    <w:rsid w:val="4D9B4759"/>
    <w:rsid w:val="4E8E6A70"/>
    <w:rsid w:val="54104FD5"/>
    <w:rsid w:val="59682C78"/>
    <w:rsid w:val="606E00D4"/>
    <w:rsid w:val="608D7975"/>
    <w:rsid w:val="619F7868"/>
    <w:rsid w:val="63004A51"/>
    <w:rsid w:val="631E3720"/>
    <w:rsid w:val="667D3ED2"/>
    <w:rsid w:val="68172955"/>
    <w:rsid w:val="72CE87D5"/>
    <w:rsid w:val="7B7F1E57"/>
    <w:rsid w:val="7E2B0D22"/>
    <w:rsid w:val="AFCFF03C"/>
    <w:rsid w:val="F7EF36AE"/>
    <w:rsid w:val="FD7AC4E9"/>
    <w:rsid w:val="FFEFE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5"/>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6"/>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7"/>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8"/>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rFonts w:ascii="Times New Roman" w:hAnsi="Times New Roman" w:eastAsia="宋体" w:cs="Times New Roman"/>
      <w:szCs w:val="20"/>
    </w:rPr>
  </w:style>
  <w:style w:type="paragraph" w:styleId="12">
    <w:name w:val="Body Text"/>
    <w:basedOn w:val="1"/>
    <w:next w:val="1"/>
    <w:qFormat/>
    <w:uiPriority w:val="0"/>
    <w:pPr>
      <w:spacing w:after="120"/>
    </w:pPr>
  </w:style>
  <w:style w:type="paragraph" w:styleId="13">
    <w:name w:val="footer"/>
    <w:basedOn w:val="1"/>
    <w:link w:val="41"/>
    <w:unhideWhenUsed/>
    <w:qFormat/>
    <w:uiPriority w:val="99"/>
    <w:pPr>
      <w:tabs>
        <w:tab w:val="center" w:pos="4153"/>
        <w:tab w:val="right" w:pos="8306"/>
      </w:tabs>
      <w:snapToGrid w:val="0"/>
      <w:jc w:val="left"/>
    </w:pPr>
    <w:rPr>
      <w:sz w:val="18"/>
      <w:szCs w:val="18"/>
    </w:rPr>
  </w:style>
  <w:style w:type="paragraph" w:styleId="14">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index heading"/>
    <w:basedOn w:val="1"/>
    <w:next w:val="16"/>
    <w:qFormat/>
    <w:uiPriority w:val="0"/>
    <w:rPr>
      <w:rFonts w:ascii="Arial" w:hAnsi="Arial"/>
      <w:b/>
    </w:rPr>
  </w:style>
  <w:style w:type="paragraph" w:styleId="16">
    <w:name w:val="index 1"/>
    <w:basedOn w:val="1"/>
    <w:next w:val="1"/>
    <w:qFormat/>
    <w:uiPriority w:val="0"/>
  </w:style>
  <w:style w:type="paragraph" w:styleId="17">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Normal (Web)"/>
    <w:basedOn w:val="1"/>
    <w:qFormat/>
    <w:uiPriority w:val="0"/>
    <w:pPr>
      <w:spacing w:beforeAutospacing="1" w:afterAutospacing="1"/>
      <w:jc w:val="left"/>
    </w:pPr>
    <w:rPr>
      <w:rFonts w:cs="Times New Roman"/>
      <w:kern w:val="0"/>
      <w:sz w:val="24"/>
    </w:rPr>
  </w:style>
  <w:style w:type="paragraph" w:styleId="19">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22">
    <w:name w:val="标题 1 Char"/>
    <w:basedOn w:val="21"/>
    <w:link w:val="2"/>
    <w:qFormat/>
    <w:uiPriority w:val="9"/>
    <w:rPr>
      <w:rFonts w:asciiTheme="majorHAnsi" w:hAnsiTheme="majorHAnsi" w:eastAsiaTheme="majorEastAsia" w:cstheme="majorBidi"/>
      <w:color w:val="2F5597" w:themeColor="accent1" w:themeShade="BF"/>
      <w:sz w:val="48"/>
      <w:szCs w:val="48"/>
    </w:rPr>
  </w:style>
  <w:style w:type="character" w:customStyle="1" w:styleId="23">
    <w:name w:val="标题 2 Char"/>
    <w:basedOn w:val="21"/>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4">
    <w:name w:val="标题 3 Char"/>
    <w:basedOn w:val="21"/>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5">
    <w:name w:val="标题 4 Char"/>
    <w:basedOn w:val="21"/>
    <w:link w:val="5"/>
    <w:semiHidden/>
    <w:qFormat/>
    <w:uiPriority w:val="9"/>
    <w:rPr>
      <w:rFonts w:cstheme="majorBidi"/>
      <w:color w:val="2F5597" w:themeColor="accent1" w:themeShade="BF"/>
      <w:sz w:val="28"/>
      <w:szCs w:val="28"/>
    </w:rPr>
  </w:style>
  <w:style w:type="character" w:customStyle="1" w:styleId="26">
    <w:name w:val="标题 5 Char"/>
    <w:basedOn w:val="21"/>
    <w:link w:val="6"/>
    <w:semiHidden/>
    <w:qFormat/>
    <w:uiPriority w:val="9"/>
    <w:rPr>
      <w:rFonts w:cstheme="majorBidi"/>
      <w:color w:val="2F5597" w:themeColor="accent1" w:themeShade="BF"/>
      <w:sz w:val="24"/>
      <w:szCs w:val="24"/>
    </w:rPr>
  </w:style>
  <w:style w:type="character" w:customStyle="1" w:styleId="27">
    <w:name w:val="标题 6 Char"/>
    <w:basedOn w:val="21"/>
    <w:link w:val="7"/>
    <w:semiHidden/>
    <w:qFormat/>
    <w:uiPriority w:val="9"/>
    <w:rPr>
      <w:rFonts w:cstheme="majorBidi"/>
      <w:b/>
      <w:bCs/>
      <w:color w:val="2F5597" w:themeColor="accent1" w:themeShade="BF"/>
    </w:rPr>
  </w:style>
  <w:style w:type="character" w:customStyle="1" w:styleId="28">
    <w:name w:val="标题 7 Char"/>
    <w:basedOn w:val="2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Char"/>
    <w:basedOn w:val="2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Char"/>
    <w:basedOn w:val="2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Char"/>
    <w:basedOn w:val="21"/>
    <w:link w:val="19"/>
    <w:qFormat/>
    <w:uiPriority w:val="10"/>
    <w:rPr>
      <w:rFonts w:asciiTheme="majorHAnsi" w:hAnsiTheme="majorHAnsi" w:eastAsiaTheme="majorEastAsia" w:cstheme="majorBidi"/>
      <w:spacing w:val="-10"/>
      <w:kern w:val="28"/>
      <w:sz w:val="56"/>
      <w:szCs w:val="56"/>
    </w:rPr>
  </w:style>
  <w:style w:type="character" w:customStyle="1" w:styleId="32">
    <w:name w:val="副标题 Char"/>
    <w:basedOn w:val="21"/>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Char"/>
    <w:basedOn w:val="21"/>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明显强调1"/>
    <w:basedOn w:val="21"/>
    <w:qFormat/>
    <w:uiPriority w:val="21"/>
    <w:rPr>
      <w:i/>
      <w:iCs/>
      <w:color w:val="2F5597" w:themeColor="accent1" w:themeShade="BF"/>
    </w:rPr>
  </w:style>
  <w:style w:type="paragraph" w:styleId="37">
    <w:name w:val="Intense Quote"/>
    <w:basedOn w:val="1"/>
    <w:next w:val="1"/>
    <w:link w:val="38"/>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8">
    <w:name w:val="明显引用 Char"/>
    <w:basedOn w:val="21"/>
    <w:link w:val="37"/>
    <w:qFormat/>
    <w:uiPriority w:val="30"/>
    <w:rPr>
      <w:i/>
      <w:iCs/>
      <w:color w:val="2F5597" w:themeColor="accent1" w:themeShade="BF"/>
    </w:rPr>
  </w:style>
  <w:style w:type="character" w:customStyle="1" w:styleId="39">
    <w:name w:val="明显参考1"/>
    <w:basedOn w:val="21"/>
    <w:qFormat/>
    <w:uiPriority w:val="32"/>
    <w:rPr>
      <w:b/>
      <w:bCs/>
      <w:smallCaps/>
      <w:color w:val="2F5597" w:themeColor="accent1" w:themeShade="BF"/>
      <w:spacing w:val="5"/>
    </w:rPr>
  </w:style>
  <w:style w:type="character" w:customStyle="1" w:styleId="40">
    <w:name w:val="页眉 Char"/>
    <w:basedOn w:val="21"/>
    <w:link w:val="14"/>
    <w:qFormat/>
    <w:uiPriority w:val="99"/>
    <w:rPr>
      <w:rFonts w:asciiTheme="minorHAnsi" w:hAnsiTheme="minorHAnsi" w:eastAsiaTheme="minorEastAsia" w:cstheme="minorBidi"/>
      <w:kern w:val="2"/>
      <w:sz w:val="18"/>
      <w:szCs w:val="18"/>
    </w:rPr>
  </w:style>
  <w:style w:type="character" w:customStyle="1" w:styleId="41">
    <w:name w:val="页脚 Char"/>
    <w:basedOn w:val="21"/>
    <w:link w:val="1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1159</Words>
  <Characters>1236</Characters>
  <Lines>9</Lines>
  <Paragraphs>2</Paragraphs>
  <TotalTime>0</TotalTime>
  <ScaleCrop>false</ScaleCrop>
  <LinksUpToDate>false</LinksUpToDate>
  <CharactersWithSpaces>1241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2025-08-23T18:23:00Z</dcterms:created>
  <dc:creator>LDY</dc:creator>
  <cp:lastModifiedBy>Bella</cp:lastModifiedBy>
  <dcterms:modified xsi:type="dcterms:W3CDTF">2025-12-03T07:39:43Z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715F030525DE42B99C1575EF91FD60DF_13</vt:lpwstr>
  </property>
  <property fmtid="{D5CDD505-2E9C-101B-9397-08002B2CF9AE}" pid="4" name="KSOTemplateDocerSaveRecord">
    <vt:lpwstr>eyJoZGlkIjoiZDMyN2U4OWQxN2RmNGJkYjhlYmFkMWZkMTIxOTE5NzYiLCJ1c2VySWQiOiIzMzM1Nzk1MDMifQ==</vt:lpwstr>
  </property>
</Properties>
</file>