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监督索引号53042600136001201000</w:t>
      </w: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lang w:val="zh-CN"/>
        </w:rPr>
        <w:t>峨山彝族自治县锦屏中学</w:t>
      </w:r>
      <w:r>
        <w:rPr>
          <w:rFonts w:hint="default" w:ascii="Times New Roman" w:hAnsi="Times New Roman" w:eastAsia="方正小标宋_GBK" w:cs="Times New Roman"/>
          <w:sz w:val="44"/>
          <w:szCs w:val="44"/>
          <w:highlight w:val="none"/>
          <w:lang w:val="en-US" w:eastAsia="zh-CN"/>
        </w:rPr>
        <w:t>2024</w:t>
      </w:r>
      <w:r>
        <w:rPr>
          <w:rFonts w:hint="default" w:ascii="Times New Roman" w:hAnsi="Times New Roman" w:eastAsia="方正小标宋_GBK" w:cs="Times New Roman"/>
          <w:sz w:val="44"/>
          <w:szCs w:val="44"/>
          <w:highlight w:val="none"/>
        </w:rPr>
        <w:t>年度部门决算</w:t>
      </w:r>
    </w:p>
    <w:p>
      <w:pPr>
        <w:keepNext w:val="0"/>
        <w:keepLines w:val="0"/>
        <w:pageBreakBefore w:val="0"/>
        <w:kinsoku/>
        <w:overflowPunct/>
        <w:topLinePunct w:val="0"/>
        <w:autoSpaceDE/>
        <w:autoSpaceDN/>
        <w:bidi w:val="0"/>
        <w:adjustRightInd/>
        <w:spacing w:line="590" w:lineRule="exact"/>
        <w:jc w:val="center"/>
        <w:textAlignment w:val="auto"/>
        <w:rPr>
          <w:rFonts w:hint="default" w:ascii="Times New Roman" w:hAnsi="Times New Roman" w:eastAsia="方正小标宋简体" w:cs="Times New Roman"/>
          <w:sz w:val="36"/>
          <w:szCs w:val="36"/>
          <w:highlight w:val="none"/>
        </w:rPr>
      </w:pP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目录</w:t>
      </w:r>
    </w:p>
    <w:p>
      <w:pPr>
        <w:keepNext w:val="0"/>
        <w:keepLines w:val="0"/>
        <w:pageBreakBefore w:val="0"/>
        <w:kinsoku/>
        <w:overflowPunct/>
        <w:topLinePunct w:val="0"/>
        <w:autoSpaceDE/>
        <w:autoSpaceDN/>
        <w:bidi w:val="0"/>
        <w:adjustRightInd/>
        <w:spacing w:line="590" w:lineRule="exact"/>
        <w:jc w:val="left"/>
        <w:textAlignment w:val="auto"/>
        <w:rPr>
          <w:rFonts w:hint="default" w:ascii="Times New Roman" w:hAnsi="Times New Roman" w:eastAsia="黑体" w:cs="Times New Roman"/>
          <w:sz w:val="30"/>
          <w:szCs w:val="30"/>
          <w:highlight w:val="none"/>
        </w:rPr>
      </w:pPr>
    </w:p>
    <w:p>
      <w:pPr>
        <w:keepNext w:val="0"/>
        <w:keepLines w:val="0"/>
        <w:pageBreakBefore w:val="0"/>
        <w:kinsoku/>
        <w:overflowPunct/>
        <w:topLinePunct w:val="0"/>
        <w:autoSpaceDE/>
        <w:autoSpaceDN/>
        <w:bidi w:val="0"/>
        <w:adjustRightInd/>
        <w:spacing w:line="590" w:lineRule="exact"/>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第一部分  </w:t>
      </w:r>
      <w:r>
        <w:rPr>
          <w:rFonts w:hint="default" w:ascii="Times New Roman" w:hAnsi="Times New Roman" w:eastAsia="方正黑体_GBK" w:cs="Times New Roman"/>
          <w:sz w:val="32"/>
          <w:szCs w:val="32"/>
          <w:highlight w:val="none"/>
          <w:lang w:eastAsia="zh-CN"/>
        </w:rPr>
        <w:t>单位</w:t>
      </w:r>
      <w:r>
        <w:rPr>
          <w:rFonts w:hint="default" w:ascii="Times New Roman" w:hAnsi="Times New Roman" w:eastAsia="方正黑体_GBK" w:cs="Times New Roman"/>
          <w:sz w:val="32"/>
          <w:szCs w:val="32"/>
          <w:highlight w:val="none"/>
        </w:rPr>
        <w:t>概况</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一、主要职</w:t>
      </w:r>
      <w:r>
        <w:rPr>
          <w:rFonts w:hint="default" w:ascii="Times New Roman" w:hAnsi="Times New Roman" w:eastAsia="方正楷体_GBK" w:cs="Times New Roman"/>
          <w:sz w:val="32"/>
          <w:szCs w:val="32"/>
          <w:highlight w:val="none"/>
          <w:lang w:eastAsia="zh-CN"/>
        </w:rPr>
        <w:t>责</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二、</w:t>
      </w:r>
      <w:r>
        <w:rPr>
          <w:rFonts w:hint="default" w:ascii="Times New Roman" w:hAnsi="Times New Roman" w:eastAsia="方正楷体_GBK" w:cs="Times New Roman"/>
          <w:sz w:val="32"/>
          <w:szCs w:val="32"/>
          <w:highlight w:val="none"/>
          <w:lang w:eastAsia="zh-CN"/>
        </w:rPr>
        <w:t>基本情况</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三、重点工作概述</w:t>
      </w:r>
    </w:p>
    <w:p>
      <w:pPr>
        <w:keepNext w:val="0"/>
        <w:keepLines w:val="0"/>
        <w:pageBreakBefore w:val="0"/>
        <w:kinsoku/>
        <w:overflowPunct/>
        <w:topLinePunct w:val="0"/>
        <w:autoSpaceDE/>
        <w:autoSpaceDN/>
        <w:bidi w:val="0"/>
        <w:adjustRightInd/>
        <w:spacing w:line="590" w:lineRule="exact"/>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一、收入支出决算表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二、收入决算表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三、支出决算表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四、财政拨款收入支出决算表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五、一般公共预算财政拨款收入支出决算表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六、一般公共预算财政拨款基本支出决算表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rPr>
        <w:t>七、</w:t>
      </w:r>
      <w:r>
        <w:rPr>
          <w:rFonts w:hint="default" w:ascii="Times New Roman" w:hAnsi="Times New Roman" w:eastAsia="方正楷体_GBK" w:cs="Times New Roman"/>
          <w:sz w:val="32"/>
          <w:szCs w:val="32"/>
          <w:highlight w:val="none"/>
          <w:lang w:eastAsia="zh-CN"/>
        </w:rPr>
        <w:t>一般公共预算财政拨款项目支出决算表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八</w:t>
      </w:r>
      <w:r>
        <w:rPr>
          <w:rFonts w:hint="default" w:ascii="Times New Roman" w:hAnsi="Times New Roman" w:eastAsia="方正楷体_GBK" w:cs="Times New Roman"/>
          <w:sz w:val="32"/>
          <w:szCs w:val="32"/>
          <w:highlight w:val="none"/>
        </w:rPr>
        <w:t>、政府性基金预算财政拨款收入支出决算表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九、国有资本经营预算财政拨款收入支出决算表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十</w:t>
      </w: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财政拨款</w:t>
      </w:r>
      <w:r>
        <w:rPr>
          <w:rFonts w:hint="default" w:ascii="Times New Roman" w:hAnsi="Times New Roman" w:eastAsia="方正楷体_GBK" w:cs="Times New Roman"/>
          <w:sz w:val="32"/>
          <w:szCs w:val="32"/>
          <w:highlight w:val="none"/>
        </w:rPr>
        <w:t>“三公”经费、行政参公单位机关运行经费情况表</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val="en-US" w:eastAsia="zh-CN"/>
        </w:rPr>
        <w:t>十一、一般公共预算财政拨款“三公”经费情况表</w:t>
      </w:r>
    </w:p>
    <w:p>
      <w:pPr>
        <w:keepNext w:val="0"/>
        <w:keepLines w:val="0"/>
        <w:pageBreakBefore w:val="0"/>
        <w:kinsoku/>
        <w:overflowPunct/>
        <w:topLinePunct w:val="0"/>
        <w:autoSpaceDE/>
        <w:autoSpaceDN/>
        <w:bidi w:val="0"/>
        <w:adjustRightInd/>
        <w:spacing w:line="590" w:lineRule="exact"/>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第三部</w:t>
      </w:r>
      <w:r>
        <w:rPr>
          <w:rFonts w:hint="default" w:ascii="Times New Roman" w:hAnsi="Times New Roman" w:eastAsia="方正黑体_GBK" w:cs="Times New Roman"/>
          <w:sz w:val="32"/>
          <w:szCs w:val="32"/>
          <w:highlight w:val="none"/>
          <w:lang w:eastAsia="zh-CN"/>
        </w:rPr>
        <w:t>分</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年度部门决算情况说明</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一、收入决算情况说明</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二、支出决算情况说明</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三、一般公共预算财政拨款支出决算情况说明</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四、财政拨款“三公”经费支出决算情况说明</w:t>
      </w:r>
    </w:p>
    <w:p>
      <w:pPr>
        <w:keepNext w:val="0"/>
        <w:keepLines w:val="0"/>
        <w:pageBreakBefore w:val="0"/>
        <w:kinsoku/>
        <w:overflowPunct/>
        <w:topLinePunct w:val="0"/>
        <w:autoSpaceDE/>
        <w:autoSpaceDN/>
        <w:bidi w:val="0"/>
        <w:adjustRightInd/>
        <w:spacing w:line="590" w:lineRule="exact"/>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第四部分</w:t>
      </w:r>
      <w:r>
        <w:rPr>
          <w:rFonts w:hint="default" w:ascii="Times New Roman" w:hAnsi="Times New Roman" w:eastAsia="方正黑体_GBK" w:cs="Times New Roman"/>
          <w:sz w:val="32"/>
          <w:szCs w:val="32"/>
          <w:highlight w:val="none"/>
          <w:lang w:val="en-US" w:eastAsia="zh-CN"/>
        </w:rPr>
        <w:t xml:space="preserve">  </w:t>
      </w:r>
      <w:r>
        <w:rPr>
          <w:rFonts w:hint="default" w:ascii="Times New Roman" w:hAnsi="Times New Roman" w:eastAsia="方正黑体_GBK" w:cs="Times New Roman"/>
          <w:sz w:val="32"/>
          <w:szCs w:val="32"/>
          <w:highlight w:val="none"/>
        </w:rPr>
        <w:t>其他重要事项及相关口径情况说明</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一、</w:t>
      </w:r>
      <w:r>
        <w:rPr>
          <w:rFonts w:hint="default" w:ascii="Times New Roman" w:hAnsi="Times New Roman" w:eastAsia="方正楷体_GBK" w:cs="Times New Roman"/>
          <w:sz w:val="32"/>
          <w:szCs w:val="32"/>
          <w:highlight w:val="none"/>
        </w:rPr>
        <w:t>机关运行经费支出情况</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二、</w:t>
      </w:r>
      <w:r>
        <w:rPr>
          <w:rFonts w:hint="default" w:ascii="Times New Roman" w:hAnsi="Times New Roman" w:eastAsia="方正楷体_GBK" w:cs="Times New Roman"/>
          <w:sz w:val="32"/>
          <w:szCs w:val="32"/>
          <w:highlight w:val="none"/>
        </w:rPr>
        <w:t>国有资产占用情况</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w:t>
      </w:r>
      <w:r>
        <w:rPr>
          <w:rFonts w:hint="default" w:ascii="Times New Roman" w:hAnsi="Times New Roman" w:eastAsia="方正楷体_GBK" w:cs="Times New Roman"/>
          <w:sz w:val="32"/>
          <w:szCs w:val="32"/>
          <w:highlight w:val="none"/>
        </w:rPr>
        <w:t>政府采购支出情况</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eastAsia="zh-CN"/>
        </w:rPr>
        <w:t>四、</w:t>
      </w:r>
      <w:r>
        <w:rPr>
          <w:rFonts w:hint="default" w:ascii="Times New Roman" w:hAnsi="Times New Roman" w:eastAsia="方正楷体_GBK" w:cs="Times New Roman"/>
          <w:sz w:val="32"/>
          <w:szCs w:val="32"/>
          <w:highlight w:val="none"/>
          <w:lang w:val="en-US" w:eastAsia="zh-CN"/>
        </w:rPr>
        <w:t>单位绩效自评情况</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eastAsia="zh-CN"/>
        </w:rPr>
        <w:t>五、</w:t>
      </w:r>
      <w:r>
        <w:rPr>
          <w:rFonts w:hint="default" w:ascii="Times New Roman" w:hAnsi="Times New Roman" w:eastAsia="方正楷体_GBK" w:cs="Times New Roman"/>
          <w:sz w:val="32"/>
          <w:szCs w:val="32"/>
          <w:highlight w:val="none"/>
          <w:lang w:val="en-US" w:eastAsia="zh-CN"/>
        </w:rPr>
        <w:t>其他重要事项情况说明</w:t>
      </w:r>
    </w:p>
    <w:p>
      <w:pPr>
        <w:keepNext w:val="0"/>
        <w:keepLines w:val="0"/>
        <w:pageBreakBefore w:val="0"/>
        <w:kinsoku/>
        <w:overflowPunct/>
        <w:topLinePunct w:val="0"/>
        <w:autoSpaceDE/>
        <w:autoSpaceDN/>
        <w:bidi w:val="0"/>
        <w:adjustRightInd/>
        <w:spacing w:line="590" w:lineRule="exact"/>
        <w:jc w:val="left"/>
        <w:textAlignment w:val="auto"/>
        <w:outlineLvl w:val="1"/>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六、相关口径说明</w:t>
      </w:r>
    </w:p>
    <w:p>
      <w:pPr>
        <w:keepNext w:val="0"/>
        <w:keepLines w:val="0"/>
        <w:pageBreakBefore w:val="0"/>
        <w:kinsoku/>
        <w:overflowPunct/>
        <w:topLinePunct w:val="0"/>
        <w:autoSpaceDE/>
        <w:autoSpaceDN/>
        <w:bidi w:val="0"/>
        <w:adjustRightInd/>
        <w:spacing w:line="590" w:lineRule="exact"/>
        <w:jc w:val="left"/>
        <w:textAlignment w:val="auto"/>
        <w:outlineLvl w:val="0"/>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第五部分  名词解释</w:t>
      </w:r>
    </w:p>
    <w:p>
      <w:pPr>
        <w:keepNext w:val="0"/>
        <w:keepLines w:val="0"/>
        <w:pageBreakBefore w:val="0"/>
        <w:kinsoku/>
        <w:overflowPunct/>
        <w:topLinePunct w:val="0"/>
        <w:autoSpaceDE/>
        <w:autoSpaceDN/>
        <w:bidi w:val="0"/>
        <w:adjustRightInd/>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center"/>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both"/>
        <w:textAlignment w:val="auto"/>
        <w:rPr>
          <w:rFonts w:hint="default" w:ascii="Times New Roman" w:hAnsi="Times New Roman" w:eastAsia="黑体" w:cs="Times New Roman"/>
          <w:sz w:val="32"/>
          <w:szCs w:val="32"/>
          <w:highlight w:val="none"/>
        </w:rPr>
      </w:pP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第一部分  </w:t>
      </w:r>
      <w:r>
        <w:rPr>
          <w:rFonts w:hint="default" w:ascii="Times New Roman" w:hAnsi="Times New Roman" w:eastAsia="方正黑体_GBK" w:cs="Times New Roman"/>
          <w:sz w:val="32"/>
          <w:szCs w:val="32"/>
          <w:highlight w:val="none"/>
          <w:lang w:eastAsia="zh-CN"/>
        </w:rPr>
        <w:t>单位</w:t>
      </w:r>
      <w:r>
        <w:rPr>
          <w:rFonts w:hint="default" w:ascii="Times New Roman" w:hAnsi="Times New Roman" w:eastAsia="方正黑体_GBK" w:cs="Times New Roman"/>
          <w:sz w:val="32"/>
          <w:szCs w:val="32"/>
          <w:highlight w:val="none"/>
        </w:rPr>
        <w:t>概况</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rPr>
        <w:t>一、主要</w:t>
      </w:r>
      <w:r>
        <w:rPr>
          <w:rFonts w:hint="default" w:ascii="Times New Roman" w:hAnsi="Times New Roman" w:eastAsia="方正黑体_GBK" w:cs="Times New Roman"/>
          <w:sz w:val="32"/>
          <w:szCs w:val="32"/>
          <w:highlight w:val="none"/>
          <w:lang w:eastAsia="zh-CN"/>
        </w:rPr>
        <w:t>职责</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（1）负责贯彻执行党的教育路线方针政策，执行上级教育部门的各种工作指导。</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（2）负责实施义务教育（中学阶段）的教育教学工作及学前教育的教学工作。</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（3）负责制定和实施学校发展规划和学年工作计划。</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（4）负责组织和领导教职工和学生的思想政治教育工作，充分发挥党支部、工会、妇女、共青团、少先队、班主任等组织的作用。</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（5）负责组织和领导学校的各项教育教学工作及安全工作。</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二、基本情况</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（一）机构设置情况</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峨山彝族自治县锦屏中学共设置7个内设机构，包括：</w:t>
      </w:r>
      <w:r>
        <w:rPr>
          <w:rFonts w:hint="default" w:ascii="Times New Roman" w:hAnsi="Times New Roman" w:eastAsia="方正仿宋_GBK" w:cs="Times New Roman"/>
          <w:sz w:val="32"/>
          <w:szCs w:val="32"/>
          <w:highlight w:val="none"/>
        </w:rPr>
        <w:t>办公室、教务处、德育处、总务处、安全处、资助中心、教科室。</w:t>
      </w:r>
      <w:r>
        <w:rPr>
          <w:rFonts w:hint="default" w:ascii="Times New Roman" w:hAnsi="Times New Roman" w:eastAsia="方正仿宋_GBK" w:cs="Times New Roman"/>
          <w:sz w:val="32"/>
          <w:szCs w:val="32"/>
          <w:highlight w:val="none"/>
          <w:lang w:val="en-US" w:eastAsia="zh-CN"/>
        </w:rPr>
        <w:t>峨山彝族自治县锦屏中学为基层预算单位，无下属单位。</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lang w:eastAsia="zh-CN"/>
        </w:rPr>
        <w:t>（二）</w:t>
      </w:r>
      <w:r>
        <w:rPr>
          <w:rFonts w:hint="default" w:ascii="Times New Roman" w:hAnsi="Times New Roman" w:eastAsia="方正楷体_GBK" w:cs="Times New Roman"/>
          <w:sz w:val="32"/>
          <w:szCs w:val="32"/>
          <w:highlight w:val="none"/>
        </w:rPr>
        <w:t>决算单位构成</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峨山彝族自治县锦屏中学作为峨山彝族自治县教育体育局的二级预算单位纳入2024年度部门决算编报范围。</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三</w:t>
      </w:r>
      <w:r>
        <w:rPr>
          <w:rFonts w:hint="default" w:ascii="Times New Roman" w:hAnsi="Times New Roman" w:eastAsia="方正楷体_GBK" w:cs="Times New Roman"/>
          <w:sz w:val="32"/>
          <w:szCs w:val="32"/>
          <w:highlight w:val="none"/>
        </w:rPr>
        <w:t>）</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 xml:space="preserve">人员和车辆的编制及实有情况 </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峨山彝族自治县锦屏中学2024年末编制内实有人员71人。包括财政拨款开支经费的：公务员0人，参照公务员法管理人员0人，事业管理人员和专业技术人员69人，机关和事业工人2人；经费自理人员0人。</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峨山彝族自治县锦屏中学2024年末其他人员2人。包括财政拨款开支经费的人员2人；经费自理人员0人。</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年末尚未移交养老保险基金发放养老金的离退休人员共计0人（离休0人，退休0人）。年末由养老保险基金发放养老金的离退休人员80人（离休0人，退休80人）。年末学生599人。年末遗属0人。</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车辆编制1辆，在编实有车辆1辆，超编0辆。</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三、重点工作概述</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全面加强党对学校工作的领导</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牢牢把握党对学校工作的领导权，</w:t>
      </w:r>
      <w:bookmarkStart w:id="0" w:name="_GoBack"/>
      <w:bookmarkEnd w:id="0"/>
      <w:r>
        <w:rPr>
          <w:rFonts w:hint="default" w:ascii="Times New Roman" w:hAnsi="Times New Roman" w:eastAsia="方正仿宋_GBK" w:cs="Times New Roman"/>
          <w:kern w:val="0"/>
          <w:sz w:val="32"/>
          <w:szCs w:val="32"/>
          <w:highlight w:val="none"/>
        </w:rPr>
        <w:t>认真贯彻落实党组织领导下的校长负责制，不断加强教育体育系统基层党组织建设。纵深推进教育系统全面从严治党，激励全体师生满怀深情感党恩、颂党情。深化中小学校“育禾苗·感党恩”行动计划，深入开展“云岭红烛·育人先锋”创建活动。把党的建设融入教育教学工作全过程，促进学校整体工作发展。</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全面抓好学校德育提升工作</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坚持“立德树人”根本导向，创新开展“立五德树五风”学校德育工作。严格落实加强学校思想政治工作及各级各类会议精神，大力开展理想信念教育、爱国爱党教育，引导学生树立正确的“五观”、增强“五个认同”，持续加强和改进学校思想政治工作，进一步加强新时代中小学思想政治课教育。</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3</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全面抓好育人质量提升工作</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坚持“巩固、深化、提高、发展”的工作思路，深化改革，推进落实，提升内涵，发展特色，打造高地，力求突破。做好义务教育优质均衡发展监测工作。</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4</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全面抓好办学条件提升工作</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推进峨山彝族自治县锦屏中学城乡义务教育学校扩容改造、义务教育薄弱环节改善与能力提升项目建设。</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5</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全面抓好新时代教师队伍提升工作</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加大学校内“校长、中层干部、骨干教师、普通教师”四个层面的交流，打破固有的管理模式，形成“县管校用”的教师人事管理新机制，实现教师编制配置上年龄结构、学科结构日趋合理化。多形式开展好教师培训，加强交流合作，内引外联，着力培养“四有好老师”，引领教师队伍高质量发展。</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6</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全面抓好控辍保学工作</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建立控辍保学宣传机制、查找机制、跟踪机制和劝返机制。落实学校控辍保学的执法主体责任，充分利用“四步法”，依法劝返，依法控辍。建立控辍保学长效机制，巩固控辍保学成果，提升保学质量。</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lang w:val="en-US" w:eastAsia="zh-CN"/>
        </w:rPr>
        <w:t>7</w:t>
      </w:r>
      <w:r>
        <w:rPr>
          <w:rFonts w:hint="default" w:ascii="Times New Roman" w:hAnsi="Times New Roman" w:eastAsia="方正仿宋_GBK" w:cs="Times New Roman"/>
          <w:kern w:val="0"/>
          <w:sz w:val="32"/>
          <w:szCs w:val="32"/>
          <w:highlight w:val="none"/>
          <w:lang w:eastAsia="zh-CN"/>
        </w:rPr>
        <w:t>）</w:t>
      </w:r>
      <w:r>
        <w:rPr>
          <w:rFonts w:hint="default" w:ascii="Times New Roman" w:hAnsi="Times New Roman" w:eastAsia="方正仿宋_GBK" w:cs="Times New Roman"/>
          <w:kern w:val="0"/>
          <w:sz w:val="32"/>
          <w:szCs w:val="32"/>
          <w:highlight w:val="none"/>
        </w:rPr>
        <w:t>全面抓好学校安全管理工作</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高度重视学校安全稳定工作，落实安全管理责任制、落实学校安全“周检月查”工作、强化学校安全联系制度、强化信息报告制度、完善学校临时聘用人员政审，持续开展“平安校园”等创建活动，推动实现“三个百分百”的工作目标。时时绷紧安全防范弦，竭力保障师生安全。</w:t>
      </w: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年度部门决算表</w:t>
      </w:r>
    </w:p>
    <w:p>
      <w:pPr>
        <w:keepNext w:val="0"/>
        <w:keepLines w:val="0"/>
        <w:pageBreakBefore w:val="0"/>
        <w:kinsoku/>
        <w:overflowPunct/>
        <w:topLinePunct w:val="0"/>
        <w:autoSpaceDE/>
        <w:autoSpaceDN/>
        <w:bidi w:val="0"/>
        <w:adjustRightInd/>
        <w:spacing w:line="590" w:lineRule="exact"/>
        <w:ind w:firstLine="640" w:firstLineChars="200"/>
        <w:jc w:val="center"/>
        <w:textAlignment w:val="auto"/>
        <w:outlineLvl w:val="1"/>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（详见附件）</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峨山彝族自治县锦屏中学202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无政府性基金预算财政拨款收入，《政府性基金预算财政拨款收入支出决算表》为空表；无国有资本经营预算财政拨款收入，《国有资本经营预算财政拨款收入支出决算表》为空表；无财政拨款“三公”经费、行政参公单位机关运行经费支出，《财政拨款“三公”经费、行政参公单位机关运行经费情况表》为空表；无一般公共预算财政拨款“三公”经费支出，《一般公共预算财政拨款“三公”经费情况表》为空表；未进行部门整体支出绩效自评，《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年度部门整体支出绩效自评情况》、《202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年度部门整体支出绩效自评表》为空表。</w:t>
      </w: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第三部</w:t>
      </w:r>
      <w:r>
        <w:rPr>
          <w:rFonts w:hint="default" w:ascii="Times New Roman" w:hAnsi="Times New Roman" w:eastAsia="方正黑体_GBK" w:cs="Times New Roman"/>
          <w:sz w:val="32"/>
          <w:szCs w:val="32"/>
          <w:highlight w:val="none"/>
          <w:lang w:eastAsia="zh-CN"/>
        </w:rPr>
        <w:t>分</w:t>
      </w:r>
      <w:r>
        <w:rPr>
          <w:rFonts w:hint="default" w:ascii="Times New Roman" w:hAnsi="Times New Roman" w:eastAsia="方正黑体_GBK" w:cs="Times New Roman"/>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default" w:ascii="Times New Roman" w:hAnsi="Times New Roman" w:eastAsia="方正黑体_GBK" w:cs="Times New Roman"/>
          <w:sz w:val="32"/>
          <w:szCs w:val="32"/>
          <w:highlight w:val="none"/>
        </w:rPr>
        <w:t>年度部门决算情况说明</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一、收入决算情况说明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年度收入合计</w:t>
      </w:r>
      <w:r>
        <w:rPr>
          <w:rFonts w:hint="default" w:ascii="Times New Roman" w:hAnsi="Times New Roman" w:eastAsia="方正仿宋_GBK" w:cs="Times New Roman"/>
          <w:color w:val="auto"/>
          <w:sz w:val="32"/>
          <w:szCs w:val="32"/>
          <w:lang w:val="zh-CN"/>
        </w:rPr>
        <w:t>15</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916</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659.36</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。其中：财政拨款收入</w:t>
      </w:r>
      <w:r>
        <w:rPr>
          <w:rFonts w:hint="default" w:ascii="Times New Roman" w:hAnsi="Times New Roman" w:eastAsia="方正仿宋_GBK" w:cs="Times New Roman"/>
          <w:color w:val="auto"/>
          <w:sz w:val="32"/>
          <w:szCs w:val="32"/>
          <w:lang w:val="zh-CN"/>
        </w:rPr>
        <w:t>15</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671</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538.25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98.46</w:t>
      </w:r>
      <w:r>
        <w:rPr>
          <w:rFonts w:hint="default" w:ascii="Times New Roman" w:hAnsi="Times New Roman" w:eastAsia="方正仿宋_GBK" w:cs="Times New Roman"/>
          <w:sz w:val="32"/>
          <w:szCs w:val="32"/>
          <w:highlight w:val="none"/>
        </w:rPr>
        <w:t>%；上级补助收入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事业收入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元（含教育收费</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经营收入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eastAsia="zh-CN"/>
        </w:rPr>
        <w:t>无</w:t>
      </w:r>
      <w:r>
        <w:rPr>
          <w:rFonts w:hint="default" w:ascii="Times New Roman" w:hAnsi="Times New Roman" w:eastAsia="方正仿宋_GBK" w:cs="Times New Roman"/>
          <w:sz w:val="32"/>
          <w:szCs w:val="32"/>
          <w:highlight w:val="none"/>
        </w:rPr>
        <w:t>附属单位</w:t>
      </w:r>
      <w:r>
        <w:rPr>
          <w:rFonts w:hint="default" w:ascii="Times New Roman" w:hAnsi="Times New Roman" w:eastAsia="方正仿宋_GBK" w:cs="Times New Roman"/>
          <w:sz w:val="32"/>
          <w:szCs w:val="32"/>
          <w:highlight w:val="none"/>
          <w:lang w:eastAsia="zh-CN"/>
        </w:rPr>
        <w:t>上缴</w:t>
      </w:r>
      <w:r>
        <w:rPr>
          <w:rFonts w:hint="default" w:ascii="Times New Roman" w:hAnsi="Times New Roman" w:eastAsia="方正仿宋_GBK" w:cs="Times New Roman"/>
          <w:sz w:val="32"/>
          <w:szCs w:val="32"/>
          <w:highlight w:val="none"/>
        </w:rPr>
        <w:t>收入</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；其他收入</w:t>
      </w:r>
      <w:r>
        <w:rPr>
          <w:rFonts w:hint="default" w:ascii="Times New Roman" w:hAnsi="Times New Roman" w:eastAsia="方正仿宋_GBK" w:cs="Times New Roman"/>
          <w:color w:val="auto"/>
          <w:sz w:val="32"/>
          <w:szCs w:val="32"/>
          <w:lang w:val="zh-CN"/>
        </w:rPr>
        <w:t>245</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121.11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，占总收入的</w:t>
      </w:r>
      <w:r>
        <w:rPr>
          <w:rFonts w:hint="default" w:ascii="Times New Roman" w:hAnsi="Times New Roman" w:eastAsia="方正仿宋_GBK" w:cs="Times New Roman"/>
          <w:color w:val="auto"/>
          <w:sz w:val="32"/>
          <w:szCs w:val="32"/>
          <w:lang w:val="zh-CN"/>
        </w:rPr>
        <w:t>1.54</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538"/>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w:t>
      </w:r>
      <w:r>
        <w:rPr>
          <w:rFonts w:hint="default" w:ascii="Times New Roman" w:hAnsi="Times New Roman" w:eastAsia="方正仿宋_GBK" w:cs="Times New Roman"/>
          <w:sz w:val="32"/>
          <w:szCs w:val="32"/>
          <w:highlight w:val="none"/>
        </w:rPr>
        <w:t>收入合计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2</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491</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765.74</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13.54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财政拨款收入</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2</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583</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100.37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14.15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；其他收入增加</w:t>
      </w:r>
      <w:r>
        <w:rPr>
          <w:rFonts w:hint="default" w:ascii="Times New Roman" w:hAnsi="Times New Roman" w:eastAsia="方正仿宋_GBK" w:cs="Times New Roman"/>
          <w:color w:val="auto"/>
          <w:sz w:val="32"/>
          <w:szCs w:val="32"/>
          <w:lang w:val="zh-CN"/>
        </w:rPr>
        <w:t>214</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084.63</w:t>
      </w:r>
      <w:r>
        <w:rPr>
          <w:rFonts w:hint="default" w:ascii="Times New Roman" w:hAnsi="Times New Roman" w:eastAsia="方正仿宋_GBK" w:cs="Times New Roman"/>
          <w:sz w:val="32"/>
          <w:szCs w:val="32"/>
          <w:highlight w:val="none"/>
          <w:lang w:eastAsia="zh-CN"/>
        </w:rPr>
        <w:t>元，增长</w:t>
      </w:r>
      <w:r>
        <w:rPr>
          <w:rFonts w:hint="default" w:ascii="Times New Roman" w:hAnsi="Times New Roman" w:eastAsia="方正仿宋_GBK" w:cs="Times New Roman"/>
          <w:color w:val="auto"/>
          <w:sz w:val="32"/>
          <w:szCs w:val="32"/>
          <w:lang w:val="zh-CN"/>
        </w:rPr>
        <w:t>689.78</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是人员退休、调出一般公共预算财政拨款中的人员经费减少及本年度开展课后服务并收取课后服务费，且暂未发放教师课后服务费，导致其他收入大幅增加</w:t>
      </w:r>
      <w:r>
        <w:rPr>
          <w:rFonts w:hint="default" w:ascii="Times New Roman" w:hAnsi="Times New Roman" w:eastAsia="方正仿宋_GBK" w:cs="Times New Roman"/>
          <w:color w:val="auto"/>
          <w:sz w:val="32"/>
          <w:szCs w:val="32"/>
          <w:highlight w:val="none"/>
        </w:rPr>
        <w:t>。</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二、支出决算情况说明</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年度支出合计</w:t>
      </w:r>
      <w:r>
        <w:rPr>
          <w:rFonts w:hint="default" w:ascii="Times New Roman" w:hAnsi="Times New Roman" w:eastAsia="方正仿宋_GBK" w:cs="Times New Roman"/>
          <w:color w:val="auto"/>
          <w:sz w:val="32"/>
          <w:szCs w:val="32"/>
          <w:lang w:val="zh-CN"/>
        </w:rPr>
        <w:t>15</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794</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288.25</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color w:val="auto"/>
          <w:sz w:val="32"/>
          <w:szCs w:val="32"/>
          <w:lang w:val="zh-CN"/>
        </w:rPr>
        <w:t>14</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848</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684.87</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94.01</w:t>
      </w:r>
      <w:r>
        <w:rPr>
          <w:rFonts w:hint="default" w:ascii="Times New Roman" w:hAnsi="Times New Roman" w:eastAsia="方正仿宋_GBK" w:cs="Times New Roman"/>
          <w:kern w:val="0"/>
          <w:sz w:val="32"/>
          <w:szCs w:val="32"/>
          <w:highlight w:val="none"/>
        </w:rPr>
        <w:t>％；项目支出</w:t>
      </w:r>
      <w:r>
        <w:rPr>
          <w:rFonts w:hint="default" w:ascii="Times New Roman" w:hAnsi="Times New Roman" w:eastAsia="方正仿宋_GBK" w:cs="Times New Roman"/>
          <w:color w:val="auto"/>
          <w:sz w:val="32"/>
          <w:szCs w:val="32"/>
          <w:lang w:val="zh-CN"/>
        </w:rPr>
        <w:t>945</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603.38</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，占总支出的</w:t>
      </w:r>
      <w:r>
        <w:rPr>
          <w:rFonts w:hint="default" w:ascii="Times New Roman" w:hAnsi="Times New Roman" w:eastAsia="方正仿宋_GBK" w:cs="Times New Roman"/>
          <w:color w:val="auto"/>
          <w:sz w:val="32"/>
          <w:szCs w:val="32"/>
          <w:lang w:val="zh-CN"/>
        </w:rPr>
        <w:t>5.99</w:t>
      </w:r>
      <w:r>
        <w:rPr>
          <w:rFonts w:hint="default" w:ascii="Times New Roman" w:hAnsi="Times New Roman" w:eastAsia="方正仿宋_GBK" w:cs="Times New Roman"/>
          <w:kern w:val="0"/>
          <w:sz w:val="32"/>
          <w:szCs w:val="32"/>
          <w:highlight w:val="none"/>
        </w:rPr>
        <w:t>％；</w:t>
      </w:r>
      <w:r>
        <w:rPr>
          <w:rFonts w:hint="eastAsia"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上缴上级支出；</w:t>
      </w:r>
      <w:r>
        <w:rPr>
          <w:rFonts w:hint="eastAsia"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经营支出；</w:t>
      </w:r>
      <w:r>
        <w:rPr>
          <w:rFonts w:hint="eastAsia" w:eastAsia="方正仿宋_GBK" w:cs="Times New Roman"/>
          <w:kern w:val="0"/>
          <w:sz w:val="32"/>
          <w:szCs w:val="32"/>
          <w:highlight w:val="none"/>
          <w:lang w:eastAsia="zh-CN"/>
        </w:rPr>
        <w:t>无</w:t>
      </w:r>
      <w:r>
        <w:rPr>
          <w:rFonts w:hint="default" w:ascii="Times New Roman" w:hAnsi="Times New Roman" w:eastAsia="方正仿宋_GBK" w:cs="Times New Roman"/>
          <w:kern w:val="0"/>
          <w:sz w:val="32"/>
          <w:szCs w:val="32"/>
          <w:highlight w:val="none"/>
        </w:rPr>
        <w:t>对附属单位补助支出。</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FF0000"/>
          <w:sz w:val="32"/>
          <w:szCs w:val="32"/>
          <w:highlight w:val="none"/>
          <w:lang w:eastAsia="zh-CN"/>
        </w:rPr>
      </w:pPr>
      <w:r>
        <w:rPr>
          <w:rFonts w:hint="default" w:ascii="Times New Roman" w:hAnsi="Times New Roman" w:eastAsia="方正仿宋_GBK" w:cs="Times New Roman"/>
          <w:sz w:val="32"/>
          <w:szCs w:val="32"/>
          <w:highlight w:val="none"/>
        </w:rPr>
        <w:t>与上年</w:t>
      </w:r>
      <w:r>
        <w:rPr>
          <w:rFonts w:hint="default" w:ascii="Times New Roman" w:hAnsi="Times New Roman" w:eastAsia="方正仿宋_GBK" w:cs="Times New Roman"/>
          <w:sz w:val="32"/>
          <w:szCs w:val="32"/>
          <w:highlight w:val="none"/>
          <w:lang w:eastAsia="zh-CN"/>
        </w:rPr>
        <w:t>相比，支出</w:t>
      </w:r>
      <w:r>
        <w:rPr>
          <w:rFonts w:hint="default" w:ascii="Times New Roman" w:hAnsi="Times New Roman" w:eastAsia="方正仿宋_GBK" w:cs="Times New Roman"/>
          <w:sz w:val="32"/>
          <w:szCs w:val="32"/>
          <w:highlight w:val="none"/>
        </w:rPr>
        <w:t>合计</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2</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478</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002.41</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13.56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kern w:val="0"/>
          <w:sz w:val="32"/>
          <w:szCs w:val="32"/>
          <w:highlight w:val="none"/>
        </w:rPr>
        <w:t>基本支出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2</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181</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984.09</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12.81</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；项目支出</w:t>
      </w:r>
      <w:r>
        <w:rPr>
          <w:rFonts w:hint="default" w:ascii="Times New Roman" w:hAnsi="Times New Roman" w:eastAsia="方正仿宋_GBK" w:cs="Times New Roman"/>
          <w:sz w:val="32"/>
          <w:szCs w:val="32"/>
          <w:highlight w:val="none"/>
          <w:lang w:val="en-US" w:eastAsia="zh-CN"/>
        </w:rPr>
        <w:t>减少</w:t>
      </w:r>
      <w:r>
        <w:rPr>
          <w:rFonts w:hint="default" w:ascii="Times New Roman" w:hAnsi="Times New Roman" w:eastAsia="方正仿宋_GBK" w:cs="Times New Roman"/>
          <w:color w:val="auto"/>
          <w:sz w:val="32"/>
          <w:szCs w:val="32"/>
          <w:lang w:val="zh-CN"/>
        </w:rPr>
        <w:t>296</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018.32</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lang w:val="en-US" w:eastAsia="zh-CN"/>
        </w:rPr>
        <w:t>下降</w:t>
      </w:r>
      <w:r>
        <w:rPr>
          <w:rFonts w:hint="default" w:ascii="Times New Roman" w:hAnsi="Times New Roman" w:eastAsia="方正仿宋_GBK" w:cs="Times New Roman"/>
          <w:color w:val="auto"/>
          <w:sz w:val="32"/>
          <w:szCs w:val="32"/>
          <w:lang w:val="zh-CN"/>
        </w:rPr>
        <w:t>23.84</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主要原因</w:t>
      </w:r>
      <w:r>
        <w:rPr>
          <w:rFonts w:hint="default" w:ascii="Times New Roman" w:hAnsi="Times New Roman" w:eastAsia="方正仿宋_GBK" w:cs="Times New Roman"/>
          <w:sz w:val="32"/>
          <w:szCs w:val="32"/>
          <w:highlight w:val="none"/>
          <w:lang w:eastAsia="zh-CN"/>
        </w:rPr>
        <w:t>是人员退休、调出各类保险缴费减少、公积金单位部分未全年缴纳、本年度财政没有安排福利费支出，且编外人员劳务费体现在工资福利支出中未纳入公用经费、2023年支出校舍修缮工程款367700元，本年度未进行校舍建设，且公用经费支出减少</w:t>
      </w:r>
      <w:r>
        <w:rPr>
          <w:rFonts w:hint="default" w:ascii="Times New Roman" w:hAnsi="Times New Roman" w:eastAsia="方正仿宋_GBK" w:cs="Times New Roman"/>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（一）基本支出情况</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rPr>
        <w:t>机构正常运转的日常支出</w:t>
      </w:r>
      <w:r>
        <w:rPr>
          <w:rFonts w:hint="default" w:ascii="Times New Roman" w:hAnsi="Times New Roman" w:eastAsia="方正仿宋_GBK" w:cs="Times New Roman"/>
          <w:color w:val="auto"/>
          <w:sz w:val="32"/>
          <w:szCs w:val="32"/>
          <w:lang w:val="zh-CN"/>
        </w:rPr>
        <w:t>14</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848</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684.87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w:t>
      </w:r>
      <w:r>
        <w:rPr>
          <w:rFonts w:hint="default" w:ascii="Times New Roman" w:hAnsi="Times New Roman" w:eastAsia="方正仿宋_GBK" w:cs="Times New Roman"/>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14</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813</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484.87</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99.76</w:t>
      </w:r>
      <w:r>
        <w:rPr>
          <w:rFonts w:hint="default" w:ascii="Times New Roman" w:hAnsi="Times New Roman" w:eastAsia="方正仿宋_GBK" w:cs="Times New Roman"/>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35</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200.00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占基本支出的</w:t>
      </w:r>
      <w:r>
        <w:rPr>
          <w:rFonts w:hint="default" w:ascii="Times New Roman" w:hAnsi="Times New Roman" w:eastAsia="方正仿宋_GBK" w:cs="Times New Roman"/>
          <w:color w:val="auto"/>
          <w:sz w:val="32"/>
          <w:szCs w:val="32"/>
          <w:lang w:val="zh-CN"/>
        </w:rPr>
        <w:t>0.24</w:t>
      </w:r>
      <w:r>
        <w:rPr>
          <w:rFonts w:hint="default" w:ascii="Times New Roman" w:hAnsi="Times New Roman" w:eastAsia="方正仿宋_GBK" w:cs="Times New Roman"/>
          <w:sz w:val="32"/>
          <w:szCs w:val="32"/>
          <w:highlight w:val="none"/>
        </w:rPr>
        <w:t>％。</w:t>
      </w:r>
    </w:p>
    <w:p>
      <w:pPr>
        <w:keepNext w:val="0"/>
        <w:keepLines w:val="0"/>
        <w:pageBreakBefore w:val="0"/>
        <w:widowControl/>
        <w:numPr>
          <w:ilvl w:val="0"/>
          <w:numId w:val="1"/>
        </w:numPr>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项目支出情况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年度用于保障</w:t>
      </w: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rPr>
        <w:t>为完成特定的行政工作任务或事业发展目标，用于专项业务工作的经费支出</w:t>
      </w:r>
      <w:r>
        <w:rPr>
          <w:rFonts w:hint="default" w:ascii="Times New Roman" w:hAnsi="Times New Roman" w:eastAsia="方正仿宋_GBK" w:cs="Times New Roman"/>
          <w:color w:val="auto"/>
          <w:sz w:val="32"/>
          <w:szCs w:val="32"/>
          <w:lang w:val="zh-CN"/>
        </w:rPr>
        <w:t>945</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sz w:val="32"/>
          <w:szCs w:val="32"/>
          <w:lang w:val="zh-CN"/>
        </w:rPr>
        <w:t>603.38</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玉财教〔2023〕8号城乡义务教育阶段公用经费专项资金项目经费13</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sz w:val="32"/>
          <w:szCs w:val="32"/>
          <w:highlight w:val="none"/>
        </w:rPr>
        <w:t>883.47元，主要用于</w:t>
      </w:r>
      <w:r>
        <w:rPr>
          <w:rFonts w:hint="default" w:ascii="Times New Roman" w:hAnsi="Times New Roman" w:eastAsia="方正仿宋_GBK" w:cs="Times New Roman"/>
          <w:sz w:val="32"/>
          <w:szCs w:val="32"/>
          <w:highlight w:val="none"/>
          <w:lang w:eastAsia="zh-CN"/>
        </w:rPr>
        <w:t>学校日常电费、电话费的支出。</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玉财教〔2023〕122号农村义务教育学生营养改善计划补助经费项目经费617</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sz w:val="32"/>
          <w:szCs w:val="32"/>
          <w:highlight w:val="none"/>
        </w:rPr>
        <w:t>963.00元，主要用于</w:t>
      </w:r>
      <w:r>
        <w:rPr>
          <w:rFonts w:hint="default" w:ascii="Times New Roman" w:hAnsi="Times New Roman" w:eastAsia="方正仿宋_GBK" w:cs="Times New Roman"/>
          <w:sz w:val="32"/>
          <w:szCs w:val="32"/>
          <w:highlight w:val="none"/>
          <w:lang w:eastAsia="zh-CN"/>
        </w:rPr>
        <w:t>学校学生营养改善计划资金的支出。</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玉财教〔2024〕26号义务教育阶段公用经费专项资金项目经费91</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sz w:val="32"/>
          <w:szCs w:val="32"/>
          <w:highlight w:val="none"/>
        </w:rPr>
        <w:t>091.91元，主要用于</w:t>
      </w:r>
      <w:r>
        <w:rPr>
          <w:rFonts w:hint="default" w:ascii="Times New Roman" w:hAnsi="Times New Roman" w:eastAsia="方正仿宋_GBK" w:cs="Times New Roman"/>
          <w:sz w:val="32"/>
          <w:szCs w:val="32"/>
          <w:highlight w:val="none"/>
          <w:lang w:eastAsia="zh-CN"/>
        </w:rPr>
        <w:t>学校办公费、电费、电话费的支出。</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玉财教〔2023〕270号锦屏中学课后服务资金项目经费99</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sz w:val="32"/>
          <w:szCs w:val="32"/>
          <w:highlight w:val="none"/>
          <w:lang w:eastAsia="zh-CN"/>
        </w:rPr>
        <w:t>915.00元，主要用于学校教师课后服务劳务费的支出。</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峨财预〔2024〕8号义务教育课后服务自有资金项目经费122</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sz w:val="32"/>
          <w:szCs w:val="32"/>
          <w:highlight w:val="none"/>
          <w:lang w:eastAsia="zh-CN"/>
        </w:rPr>
        <w:t>750.00元，主要用于开展课后服务购买相关用品的支出。</w:t>
      </w:r>
    </w:p>
    <w:p>
      <w:pPr>
        <w:keepNext w:val="0"/>
        <w:keepLines w:val="0"/>
        <w:pageBreakBefore w:val="0"/>
        <w:kinsoku/>
        <w:overflowPunct/>
        <w:topLinePunct w:val="0"/>
        <w:autoSpaceDE/>
        <w:autoSpaceDN/>
        <w:bidi w:val="0"/>
        <w:adjustRightInd/>
        <w:spacing w:line="590" w:lineRule="exact"/>
        <w:ind w:firstLine="640" w:firstLineChars="200"/>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三、一般公共预算财政拨款支出决算情况说明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（一）一般公共预算财政拨款支出决算总体情况</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15</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kern w:val="0"/>
          <w:sz w:val="32"/>
          <w:szCs w:val="32"/>
          <w:lang w:val="zh-CN"/>
        </w:rPr>
        <w:t>671</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kern w:val="0"/>
          <w:sz w:val="32"/>
          <w:szCs w:val="32"/>
          <w:lang w:val="zh-CN"/>
        </w:rPr>
        <w:t>538.25</w:t>
      </w:r>
      <w:r>
        <w:rPr>
          <w:rFonts w:hint="default" w:ascii="Times New Roman" w:hAnsi="Times New Roman" w:eastAsia="方正仿宋_GBK" w:cs="Times New Roman"/>
          <w:kern w:val="0"/>
          <w:sz w:val="32"/>
          <w:szCs w:val="32"/>
          <w:highlight w:val="none"/>
          <w:lang w:eastAsia="zh-CN"/>
        </w:rPr>
        <w:t>元</w:t>
      </w:r>
      <w:r>
        <w:rPr>
          <w:rFonts w:hint="default" w:ascii="Times New Roman" w:hAnsi="Times New Roman" w:eastAsia="方正仿宋_GBK" w:cs="Times New Roman"/>
          <w:kern w:val="0"/>
          <w:sz w:val="32"/>
          <w:szCs w:val="32"/>
          <w:highlight w:val="none"/>
        </w:rPr>
        <w:t>,占本年支出合计的</w:t>
      </w:r>
      <w:r>
        <w:rPr>
          <w:rFonts w:hint="default" w:ascii="Times New Roman" w:hAnsi="Times New Roman" w:eastAsia="方正仿宋_GBK" w:cs="Times New Roman"/>
          <w:color w:val="auto"/>
          <w:sz w:val="32"/>
          <w:szCs w:val="32"/>
          <w:lang w:val="zh-CN"/>
        </w:rPr>
        <w:t>99.22</w:t>
      </w:r>
      <w:r>
        <w:rPr>
          <w:rFonts w:hint="default" w:ascii="Times New Roman" w:hAnsi="Times New Roman" w:eastAsia="方正仿宋_GBK" w:cs="Times New Roman"/>
          <w:kern w:val="0"/>
          <w:sz w:val="32"/>
          <w:szCs w:val="32"/>
          <w:highlight w:val="none"/>
        </w:rPr>
        <w:t>%。与上年</w:t>
      </w:r>
      <w:r>
        <w:rPr>
          <w:rFonts w:hint="default" w:ascii="Times New Roman" w:hAnsi="Times New Roman" w:eastAsia="方正仿宋_GBK" w:cs="Times New Roman"/>
          <w:kern w:val="0"/>
          <w:sz w:val="32"/>
          <w:szCs w:val="32"/>
          <w:highlight w:val="none"/>
          <w:lang w:eastAsia="zh-CN"/>
        </w:rPr>
        <w:t>相比</w:t>
      </w:r>
      <w:r>
        <w:rPr>
          <w:rFonts w:hint="default" w:ascii="Times New Roman" w:hAnsi="Times New Roman" w:eastAsia="方正仿宋_GBK" w:cs="Times New Roman"/>
          <w:kern w:val="0"/>
          <w:sz w:val="32"/>
          <w:szCs w:val="32"/>
          <w:highlight w:val="none"/>
        </w:rPr>
        <w:t>减少</w:t>
      </w:r>
      <w:r>
        <w:rPr>
          <w:rFonts w:hint="default" w:ascii="Times New Roman" w:hAnsi="Times New Roman" w:eastAsia="方正仿宋_GBK" w:cs="Times New Roman"/>
          <w:color w:val="auto"/>
          <w:kern w:val="0"/>
          <w:sz w:val="32"/>
          <w:szCs w:val="32"/>
          <w:lang w:val="zh-CN"/>
        </w:rPr>
        <w:t>2</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kern w:val="0"/>
          <w:sz w:val="32"/>
          <w:szCs w:val="32"/>
          <w:lang w:val="zh-CN"/>
        </w:rPr>
        <w:t>583</w:t>
      </w:r>
      <w:r>
        <w:rPr>
          <w:rFonts w:hint="default" w:ascii="Times New Roman" w:hAnsi="Times New Roman" w:eastAsia="方正仿宋_GBK" w:cs="Times New Roman"/>
          <w:sz w:val="32"/>
          <w:szCs w:val="32"/>
          <w:lang w:val="en-US" w:eastAsia="en-US"/>
        </w:rPr>
        <w:t>,</w:t>
      </w:r>
      <w:r>
        <w:rPr>
          <w:rFonts w:hint="default" w:ascii="Times New Roman" w:hAnsi="Times New Roman" w:eastAsia="方正仿宋_GBK" w:cs="Times New Roman"/>
          <w:color w:val="auto"/>
          <w:kern w:val="0"/>
          <w:sz w:val="32"/>
          <w:szCs w:val="32"/>
          <w:lang w:val="zh-CN"/>
        </w:rPr>
        <w:t>100.37</w:t>
      </w:r>
      <w:r>
        <w:rPr>
          <w:rFonts w:hint="default" w:ascii="Times New Roman" w:hAnsi="Times New Roman" w:eastAsia="方正仿宋_GBK" w:cs="Times New Roman"/>
          <w:kern w:val="0"/>
          <w:sz w:val="32"/>
          <w:szCs w:val="32"/>
          <w:highlight w:val="none"/>
        </w:rPr>
        <w:t>元，下降</w:t>
      </w:r>
      <w:r>
        <w:rPr>
          <w:rFonts w:hint="default" w:ascii="Times New Roman" w:hAnsi="Times New Roman" w:eastAsia="方正仿宋_GBK" w:cs="Times New Roman"/>
          <w:color w:val="auto"/>
          <w:kern w:val="0"/>
          <w:sz w:val="32"/>
          <w:szCs w:val="32"/>
          <w:lang w:val="zh-CN"/>
        </w:rPr>
        <w:t>14.15</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完成年初预算的</w:t>
      </w:r>
      <w:r>
        <w:rPr>
          <w:rFonts w:hint="default" w:ascii="Times New Roman" w:hAnsi="Times New Roman" w:eastAsia="方正仿宋_GBK" w:cs="Times New Roman"/>
          <w:color w:val="auto"/>
          <w:sz w:val="32"/>
          <w:szCs w:val="32"/>
          <w:lang w:val="zh-CN"/>
        </w:rPr>
        <w:t>76.19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楷体" w:cs="Times New Roman"/>
          <w:sz w:val="30"/>
          <w:szCs w:val="30"/>
          <w:highlight w:val="none"/>
        </w:rPr>
      </w:pPr>
      <w:r>
        <w:rPr>
          <w:rFonts w:hint="default" w:ascii="Times New Roman" w:hAnsi="Times New Roman" w:eastAsia="方正楷体_GBK" w:cs="Times New Roman"/>
          <w:sz w:val="32"/>
          <w:szCs w:val="32"/>
          <w:highlight w:val="none"/>
        </w:rPr>
        <w:t>（二）一般公共预算财政拨款支出决算</w:t>
      </w:r>
      <w:r>
        <w:rPr>
          <w:rFonts w:hint="default" w:ascii="Times New Roman" w:hAnsi="Times New Roman" w:eastAsia="方正楷体_GBK" w:cs="Times New Roman"/>
          <w:sz w:val="32"/>
          <w:szCs w:val="32"/>
          <w:highlight w:val="none"/>
          <w:lang w:eastAsia="zh-CN"/>
        </w:rPr>
        <w:t>分功能分类科目情况</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1.一般公共服务（类）支出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eastAsia" w:eastAsia="方正仿宋_GBK" w:cs="Times New Roman"/>
          <w:color w:val="000000" w:themeColor="text1"/>
          <w:sz w:val="32"/>
          <w:szCs w:val="32"/>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2.外交（类）支出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3.国防（类）支出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4.公共安全（类）支出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5.教育（类）支出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lang w:val="en-US" w:eastAsia="en-US"/>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043</w:t>
      </w:r>
      <w:r>
        <w:rPr>
          <w:rFonts w:hint="default" w:ascii="Times New Roman" w:hAnsi="Times New Roman" w:eastAsia="方正仿宋_GBK" w:cs="Times New Roman"/>
          <w:color w:val="000000" w:themeColor="text1"/>
          <w:sz w:val="32"/>
          <w:szCs w:val="32"/>
          <w:lang w:val="en-US" w:eastAsia="en-US"/>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705.52</w:t>
      </w: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元，</w:t>
      </w:r>
      <w:r>
        <w:rPr>
          <w:rFonts w:hint="default" w:ascii="Times New Roman" w:hAnsi="Times New Roman" w:eastAsia="方正仿宋_GBK" w:cs="Times New Roman"/>
          <w:color w:val="000000" w:themeColor="text1"/>
          <w:sz w:val="32"/>
          <w:szCs w:val="32"/>
          <w:lang w:val="en-US"/>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76.85</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完成年初预算的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96.94</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主要用于</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在职及编外</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人员工资、社保、学校日常经费开支、学生营养改善计划资金支出</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造成预决算差异的主要原因是</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决算数与预算数两项数据的口径不同</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6.科学技术（类）支出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元，</w:t>
      </w:r>
      <w:r>
        <w:rPr>
          <w:rFonts w:hint="default" w:ascii="Times New Roman" w:hAnsi="Times New Roman" w:eastAsia="方正仿宋_GBK" w:cs="Times New Roman"/>
          <w:color w:val="000000" w:themeColor="text1"/>
          <w:sz w:val="32"/>
          <w:szCs w:val="32"/>
          <w:lang w:val="en-US"/>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0.00</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7.文化旅游体育与传媒（类）支出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元，</w:t>
      </w:r>
      <w:r>
        <w:rPr>
          <w:rFonts w:hint="default" w:ascii="Times New Roman" w:hAnsi="Times New Roman" w:eastAsia="方正仿宋_GBK" w:cs="Times New Roman"/>
          <w:color w:val="000000" w:themeColor="text1"/>
          <w:sz w:val="32"/>
          <w:szCs w:val="32"/>
          <w:lang w:val="en-US"/>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0.00</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8.社会保障和就业（类）支出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en-US"/>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256</w:t>
      </w:r>
      <w:r>
        <w:rPr>
          <w:rFonts w:hint="default" w:ascii="Times New Roman" w:hAnsi="Times New Roman" w:eastAsia="方正仿宋_GBK" w:cs="Times New Roman"/>
          <w:color w:val="000000" w:themeColor="text1"/>
          <w:sz w:val="32"/>
          <w:szCs w:val="32"/>
          <w:lang w:val="en-US" w:eastAsia="en-US"/>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417.34</w:t>
      </w: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元，</w:t>
      </w:r>
      <w:r>
        <w:rPr>
          <w:rFonts w:hint="default" w:ascii="Times New Roman" w:hAnsi="Times New Roman" w:eastAsia="方正仿宋_GBK" w:cs="Times New Roman"/>
          <w:color w:val="000000" w:themeColor="text1"/>
          <w:sz w:val="32"/>
          <w:szCs w:val="32"/>
          <w:lang w:val="en-US"/>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14.40</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完成年初预算的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45.75</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主要用于</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职工养老保险、退休费的支出</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造成预决算差异的主要原因是</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决算数与预算数两项数据的口径不同</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9.卫生健康（类）支出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948</w:t>
      </w:r>
      <w:r>
        <w:rPr>
          <w:rFonts w:hint="default" w:ascii="Times New Roman" w:hAnsi="Times New Roman" w:eastAsia="方正仿宋_GBK" w:cs="Times New Roman"/>
          <w:color w:val="000000" w:themeColor="text1"/>
          <w:sz w:val="32"/>
          <w:szCs w:val="32"/>
          <w:lang w:val="en-US" w:eastAsia="en-US"/>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000.39</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6.05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完成年初预算的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50.96</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主要用于</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职工医疗保险、失业保险、工伤保险的支出</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造成预决算差异的主要原因是</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决算数与预算数两项数据的口径不同</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10.节能环保（类）支出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11.城乡社区（类）支出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12.农林水（类）支出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13.交通运输（类）支出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14.资源勘探工业信息等（类）支出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15.商业服务业等（类）支出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16.金融（类）支出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eastAsia"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17.援助其他地区（类）支出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18.自然资源海洋气象等（类）支出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19.住房保障（类）支出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423</w:t>
      </w:r>
      <w:r>
        <w:rPr>
          <w:rFonts w:hint="default" w:ascii="Times New Roman" w:hAnsi="Times New Roman" w:eastAsia="方正仿宋_GBK" w:cs="Times New Roman"/>
          <w:color w:val="000000" w:themeColor="text1"/>
          <w:sz w:val="32"/>
          <w:szCs w:val="32"/>
          <w:lang w:val="en-US" w:eastAsia="en-US"/>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415.00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2.70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完成年初预算的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31.31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主要用于</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职工住房公积金的支出</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造成预决算差异的主要原因是</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决算数与预算数两项数据的口径不同。</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20.粮油物资储备（类）支出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21.国有资本经营预算（类）支出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22.灾害防治及应急管理（类）支出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23.其他（类）支出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24.债务还本（类）支出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25.债务付息（类）支出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14:textFill>
            <w14:solidFill>
              <w14:schemeClr w14:val="tx1"/>
            </w14:solidFill>
          </w14:textFill>
        </w:rPr>
        <w:t>26.抗疫特别国债安排（类）支出</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占一般公共预算财政拨款总支出的</w:t>
      </w:r>
      <w:r>
        <w:rPr>
          <w:rFonts w:hint="default" w:ascii="Times New Roman" w:hAnsi="Times New Roman" w:eastAsia="方正仿宋_GBK" w:cs="Times New Roman"/>
          <w:color w:val="000000" w:themeColor="text1"/>
          <w:kern w:val="0"/>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年初无此项预算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无支出。</w:t>
      </w:r>
    </w:p>
    <w:p>
      <w:pPr>
        <w:keepNext w:val="0"/>
        <w:keepLines w:val="0"/>
        <w:pageBreakBefore w:val="0"/>
        <w:widowControl/>
        <w:numPr>
          <w:ilvl w:val="0"/>
          <w:numId w:val="2"/>
        </w:numPr>
        <w:kinsoku/>
        <w:overflowPunct/>
        <w:topLinePunct w:val="0"/>
        <w:autoSpaceDE/>
        <w:autoSpaceDN/>
        <w:bidi w:val="0"/>
        <w:adjustRightInd/>
        <w:snapToGrid w:val="0"/>
        <w:spacing w:before="100" w:after="100" w:line="590" w:lineRule="exact"/>
        <w:ind w:firstLine="640" w:firstLineChars="200"/>
        <w:jc w:val="left"/>
        <w:textAlignment w:val="auto"/>
        <w:outlineLvl w:val="1"/>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14:textFill>
            <w14:solidFill>
              <w14:schemeClr w14:val="tx1"/>
            </w14:solidFill>
          </w14:textFill>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2024</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年度财政拨款“三公”经费支出决算中，财政拨款“三公”经费支出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年初</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；支出决算较上年增加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因公出国（境）费支出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年初</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元，占财政拨款“三公”经费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总支出决算的</w:t>
      </w:r>
      <w:r>
        <w:rPr>
          <w:rFonts w:hint="eastAsia" w:eastAsia="方正仿宋_GBK" w:cs="Times New Roman"/>
          <w:color w:val="000000" w:themeColor="text1"/>
          <w:kern w:val="0"/>
          <w:sz w:val="32"/>
          <w:szCs w:val="32"/>
          <w:highlight w:val="none"/>
          <w:lang w:val="en-US" w:eastAsia="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%；公务用车购置费支出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年初</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元，占财政拨款“三公”经费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总支出决算的</w:t>
      </w:r>
      <w:r>
        <w:rPr>
          <w:rFonts w:hint="eastAsia" w:eastAsia="方正仿宋_GBK" w:cs="Times New Roman"/>
          <w:color w:val="000000" w:themeColor="text1"/>
          <w:kern w:val="0"/>
          <w:sz w:val="32"/>
          <w:szCs w:val="32"/>
          <w:highlight w:val="none"/>
          <w:lang w:val="en-US" w:eastAsia="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%；公务用车</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运行维护</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年初</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元，占财政拨款“三公”经费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总支出决算的</w:t>
      </w:r>
      <w:r>
        <w:rPr>
          <w:rFonts w:hint="eastAsia" w:eastAsia="方正仿宋_GBK" w:cs="Times New Roman"/>
          <w:color w:val="000000" w:themeColor="text1"/>
          <w:kern w:val="0"/>
          <w:sz w:val="32"/>
          <w:szCs w:val="32"/>
          <w:highlight w:val="none"/>
          <w:lang w:val="en-US" w:eastAsia="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公务接待费支出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年初</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元，占财政拨款“三公”经费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总支出决算的</w:t>
      </w:r>
      <w:r>
        <w:rPr>
          <w:rFonts w:hint="eastAsia" w:eastAsia="方正仿宋_GBK" w:cs="Times New Roman"/>
          <w:color w:val="000000" w:themeColor="text1"/>
          <w:kern w:val="0"/>
          <w:sz w:val="32"/>
          <w:szCs w:val="32"/>
          <w:highlight w:val="none"/>
          <w:lang w:val="en-US" w:eastAsia="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仿宋_GB2312" w:cs="Times New Roman"/>
          <w:color w:val="000000" w:themeColor="text1"/>
          <w:kern w:val="0"/>
          <w:sz w:val="30"/>
          <w:szCs w:val="30"/>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因公出国（境）费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支出决算较上年增加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公务用车购置费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支出决算较上年增加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公务用车</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支出决算较上年增加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公务接待费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支出决算较上年增加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；具体是国内接待费支出决算</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元（其中：外事接待费支出决算</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元），较上年增加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国（境）外接待费支出决算</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元较上年增加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楷体_GB2312" w:cs="Times New Roman"/>
          <w:color w:val="000000" w:themeColor="text1"/>
          <w:kern w:val="0"/>
          <w:sz w:val="30"/>
          <w:szCs w:val="30"/>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highlight w:val="none"/>
          <w:lang w:val="en-US" w:eastAsia="zh-CN"/>
          <w14:textFill>
            <w14:solidFill>
              <w14:schemeClr w14:val="tx1"/>
            </w14:solidFill>
          </w14:textFill>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年度一般公共预算财政拨款“三公”经费支出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年初</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，支出决算为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支出决算较上年增加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一般公共预算财政拨款“三公”经费支出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中：</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因公出国（境）费支出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初</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；公务用车购置费支出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初</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；公务用车</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支出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初</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；公务接待费支出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初</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预算为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，决算为</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一般公共预算财政拨款“三公”经费支出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中：</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因公出国（境）费支出决算增加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；公务用车购置费支出决算增加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；公务用车</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支出决算增加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；公务接待费支出决算增加</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具体是国内接待费支出决算</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元（其中：外事接待费支出决算</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元），较上年增加</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0.00元，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国（境）外接待费支出决算</w:t>
      </w:r>
      <w:r>
        <w:rPr>
          <w:rFonts w:hint="default" w:ascii="Times New Roman" w:hAnsi="Times New Roman" w:eastAsia="方正仿宋_GBK" w:cs="Times New Roman"/>
          <w:color w:val="000000" w:themeColor="text1"/>
          <w:sz w:val="32"/>
          <w:szCs w:val="32"/>
          <w:lang w:val="zh-CN"/>
          <w14:textFill>
            <w14:solidFill>
              <w14:schemeClr w14:val="tx1"/>
            </w14:solidFill>
          </w14:textFill>
        </w:rPr>
        <w:t>0.00</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元较上年增加</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0.00元，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上年无此项支出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一般公共预算财政拨款“三公”经费支出</w:t>
      </w:r>
      <w:r>
        <w:rPr>
          <w:rFonts w:hint="default" w:ascii="Times New Roman" w:hAnsi="Times New Roman" w:eastAsia="方正仿宋_GBK" w:cs="Times New Roman"/>
          <w:sz w:val="32"/>
          <w:szCs w:val="32"/>
          <w:highlight w:val="none"/>
          <w:lang w:eastAsia="zh-CN"/>
        </w:rPr>
        <w:t>实物量的</w:t>
      </w:r>
      <w:r>
        <w:rPr>
          <w:rFonts w:hint="default" w:ascii="Times New Roman" w:hAnsi="Times New Roman" w:eastAsia="方正仿宋_GBK" w:cs="Times New Roman"/>
          <w:sz w:val="32"/>
          <w:szCs w:val="32"/>
          <w:highlight w:val="none"/>
        </w:rPr>
        <w:t>具体情况</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1.安排因公出国（境）团组</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b w:val="0"/>
          <w:bCs/>
          <w:sz w:val="32"/>
          <w:szCs w:val="32"/>
          <w:highlight w:val="none"/>
        </w:rPr>
        <w:t>个，累计</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b w:val="0"/>
          <w:bCs/>
          <w:sz w:val="32"/>
          <w:szCs w:val="32"/>
          <w:highlight w:val="none"/>
        </w:rPr>
        <w:t>人次。</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2.购置车辆</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b w:val="0"/>
          <w:bCs/>
          <w:sz w:val="32"/>
          <w:szCs w:val="32"/>
          <w:highlight w:val="none"/>
        </w:rPr>
        <w:t>辆。</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b w:val="0"/>
          <w:bCs/>
          <w:color w:val="FF0000"/>
          <w:sz w:val="32"/>
          <w:szCs w:val="32"/>
          <w:highlight w:val="none"/>
          <w:lang w:eastAsia="zh-CN"/>
        </w:rPr>
      </w:pPr>
      <w:r>
        <w:rPr>
          <w:rFonts w:hint="default" w:ascii="Times New Roman" w:hAnsi="Times New Roman" w:eastAsia="方正仿宋_GBK" w:cs="Times New Roman"/>
          <w:b w:val="0"/>
          <w:bCs/>
          <w:sz w:val="32"/>
          <w:szCs w:val="32"/>
          <w:highlight w:val="none"/>
        </w:rPr>
        <w:t>3.安排</w:t>
      </w:r>
      <w:r>
        <w:rPr>
          <w:rFonts w:hint="default" w:ascii="Times New Roman" w:hAnsi="Times New Roman" w:eastAsia="方正仿宋_GBK" w:cs="Times New Roman"/>
          <w:sz w:val="32"/>
          <w:szCs w:val="32"/>
          <w:highlight w:val="none"/>
        </w:rPr>
        <w:t>国内公务接待</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批次（其中：外事接待</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批次），接待人次</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人（其中：外事接待人次</w:t>
      </w:r>
      <w:r>
        <w:rPr>
          <w:rFonts w:hint="default" w:ascii="Times New Roman" w:hAnsi="Times New Roman" w:eastAsia="方正仿宋_GBK" w:cs="Times New Roman"/>
          <w:color w:val="000000"/>
          <w:sz w:val="32"/>
          <w:szCs w:val="32"/>
          <w:lang w:val="zh-CN"/>
        </w:rPr>
        <w:t>0.0</w:t>
      </w:r>
      <w:r>
        <w:rPr>
          <w:rFonts w:hint="default" w:ascii="Times New Roman" w:hAnsi="Times New Roman" w:eastAsia="方正仿宋_GBK" w:cs="Times New Roman"/>
          <w:sz w:val="32"/>
          <w:szCs w:val="32"/>
          <w:highlight w:val="none"/>
        </w:rPr>
        <w:t>人）。</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2"/>
        <w:rPr>
          <w:rFonts w:hint="default" w:ascii="Times New Roman" w:hAnsi="Times New Roman" w:eastAsia="方正楷体_GBK" w:cs="Times New Roman"/>
          <w:sz w:val="32"/>
          <w:szCs w:val="32"/>
          <w:highlight w:val="none"/>
          <w:lang w:eastAsia="zh-CN"/>
        </w:rPr>
      </w:pPr>
      <w:r>
        <w:rPr>
          <w:rFonts w:hint="default" w:ascii="Times New Roman" w:hAnsi="Times New Roman" w:eastAsia="方正楷体_GBK" w:cs="Times New Roman"/>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lang w:eastAsia="zh-CN"/>
        </w:rPr>
        <w:t>不存在需要说明的事项。</w:t>
      </w:r>
    </w:p>
    <w:p>
      <w:pPr>
        <w:keepNext w:val="0"/>
        <w:keepLines w:val="0"/>
        <w:pageBreakBefore w:val="0"/>
        <w:widowControl/>
        <w:kinsoku/>
        <w:overflowPunct/>
        <w:topLinePunct w:val="0"/>
        <w:autoSpaceDE/>
        <w:autoSpaceDN/>
        <w:bidi w:val="0"/>
        <w:adjustRightInd/>
        <w:snapToGrid w:val="0"/>
        <w:spacing w:before="100" w:after="100" w:line="590" w:lineRule="exact"/>
        <w:ind w:firstLine="640" w:firstLineChars="200"/>
        <w:jc w:val="left"/>
        <w:textAlignment w:val="auto"/>
        <w:outlineLvl w:val="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第四部分  其他重要事项及相关口径情况说明</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w:t>
      </w:r>
      <w:r>
        <w:rPr>
          <w:rFonts w:hint="default" w:ascii="Times New Roman" w:hAnsi="Times New Roman" w:eastAsia="方正黑体_GBK" w:cs="Times New Roman"/>
          <w:sz w:val="32"/>
          <w:szCs w:val="32"/>
          <w:highlight w:val="none"/>
          <w:lang w:eastAsia="zh-CN"/>
        </w:rPr>
        <w:t>、</w:t>
      </w:r>
      <w:r>
        <w:rPr>
          <w:rFonts w:hint="default" w:ascii="Times New Roman" w:hAnsi="Times New Roman" w:eastAsia="方正黑体_GBK" w:cs="Times New Roman"/>
          <w:sz w:val="32"/>
          <w:szCs w:val="32"/>
          <w:highlight w:val="none"/>
        </w:rPr>
        <w:t>机关运行经费支出情况</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lang w:val="en-US" w:eastAsia="zh-CN"/>
        </w:rPr>
        <w:t>2024</w:t>
      </w:r>
      <w:r>
        <w:rPr>
          <w:rFonts w:hint="default" w:ascii="Times New Roman" w:hAnsi="Times New Roman" w:eastAsia="方正仿宋_GBK" w:cs="Times New Roman"/>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比上年</w:t>
      </w:r>
      <w:r>
        <w:rPr>
          <w:rFonts w:hint="default" w:ascii="Times New Roman" w:hAnsi="Times New Roman" w:eastAsia="方正仿宋_GBK" w:cs="Times New Roman"/>
          <w:sz w:val="32"/>
          <w:szCs w:val="32"/>
          <w:highlight w:val="none"/>
        </w:rPr>
        <w:t>增加</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sz w:val="32"/>
          <w:szCs w:val="32"/>
          <w:highlight w:val="none"/>
          <w:lang w:eastAsia="zh-CN"/>
        </w:rPr>
        <w:t>元</w:t>
      </w:r>
      <w:r>
        <w:rPr>
          <w:rFonts w:hint="default" w:ascii="Times New Roman" w:hAnsi="Times New Roman" w:eastAsia="方正仿宋_GBK" w:cs="Times New Roman"/>
          <w:sz w:val="32"/>
          <w:szCs w:val="32"/>
          <w:highlight w:val="none"/>
        </w:rPr>
        <w:t>，增长</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rPr>
        <w:t>%。</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二、</w:t>
      </w:r>
      <w:r>
        <w:rPr>
          <w:rFonts w:hint="default" w:ascii="Times New Roman" w:hAnsi="Times New Roman" w:eastAsia="方正黑体_GBK" w:cs="Times New Roman"/>
          <w:sz w:val="32"/>
          <w:szCs w:val="32"/>
          <w:highlight w:val="none"/>
        </w:rPr>
        <w:t>国有资产占用情况</w:t>
      </w:r>
    </w:p>
    <w:p>
      <w:pPr>
        <w:keepNext w:val="0"/>
        <w:keepLines w:val="0"/>
        <w:pageBreakBefore w:val="0"/>
        <w:widowControl/>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sz w:val="32"/>
          <w:szCs w:val="32"/>
          <w:highlight w:val="none"/>
          <w:lang w:eastAsia="zh-CN"/>
        </w:rPr>
        <w:t>截至2024年末，</w:t>
      </w: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lang w:eastAsia="zh-CN"/>
        </w:rPr>
        <w:t>资产总额16</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sz w:val="32"/>
          <w:szCs w:val="32"/>
          <w:highlight w:val="none"/>
          <w:lang w:eastAsia="zh-CN"/>
        </w:rPr>
        <w:t>123</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sz w:val="32"/>
          <w:szCs w:val="32"/>
          <w:highlight w:val="none"/>
          <w:lang w:eastAsia="zh-CN"/>
        </w:rPr>
        <w:t>813.95元，其中，流动资产383</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sz w:val="32"/>
          <w:szCs w:val="32"/>
          <w:highlight w:val="none"/>
          <w:lang w:eastAsia="zh-CN"/>
        </w:rPr>
        <w:t>831.49元，固定资产14</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sz w:val="32"/>
          <w:szCs w:val="32"/>
          <w:highlight w:val="none"/>
          <w:lang w:eastAsia="zh-CN"/>
        </w:rPr>
        <w:t>749</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sz w:val="32"/>
          <w:szCs w:val="32"/>
          <w:highlight w:val="none"/>
          <w:lang w:eastAsia="zh-CN"/>
        </w:rPr>
        <w:t>617.1</w:t>
      </w:r>
      <w:r>
        <w:rPr>
          <w:rFonts w:hint="default"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元，无形资产</w:t>
      </w:r>
      <w:r>
        <w:rPr>
          <w:rFonts w:hint="default" w:ascii="Times New Roman" w:hAnsi="Times New Roman" w:eastAsia="方正仿宋_GBK" w:cs="Times New Roman"/>
          <w:sz w:val="32"/>
          <w:szCs w:val="32"/>
          <w:highlight w:val="none"/>
          <w:lang w:val="en-US" w:eastAsia="zh-CN"/>
        </w:rPr>
        <w:t>0.00</w:t>
      </w:r>
      <w:r>
        <w:rPr>
          <w:rFonts w:hint="default" w:ascii="Times New Roman" w:hAnsi="Times New Roman" w:eastAsia="方正仿宋_GBK" w:cs="Times New Roman"/>
          <w:sz w:val="32"/>
          <w:szCs w:val="32"/>
          <w:highlight w:val="none"/>
          <w:lang w:eastAsia="zh-CN"/>
        </w:rPr>
        <w:t>元（净值），其他资产335</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sz w:val="32"/>
          <w:szCs w:val="32"/>
          <w:highlight w:val="none"/>
          <w:lang w:eastAsia="zh-CN"/>
        </w:rPr>
        <w:t>652.94元（净值）（具体内容详见附表）</w:t>
      </w:r>
      <w:r>
        <w:rPr>
          <w:rFonts w:hint="default" w:ascii="Times New Roman" w:hAnsi="Times New Roman" w:eastAsia="方正仿宋_GBK" w:cs="Times New Roman"/>
          <w:color w:val="000000"/>
          <w:kern w:val="0"/>
          <w:sz w:val="32"/>
          <w:szCs w:val="32"/>
          <w:highlight w:val="none"/>
        </w:rPr>
        <w:t>。与上年相比，本年资产总额减少</w:t>
      </w:r>
      <w:r>
        <w:rPr>
          <w:rFonts w:hint="default" w:ascii="Times New Roman" w:hAnsi="Times New Roman" w:eastAsia="方正仿宋_GBK" w:cs="Times New Roman"/>
          <w:color w:val="000000"/>
          <w:kern w:val="0"/>
          <w:sz w:val="32"/>
          <w:szCs w:val="32"/>
          <w:highlight w:val="none"/>
          <w:lang w:val="en-US" w:eastAsia="zh-CN"/>
        </w:rPr>
        <w:t>374</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color w:val="000000"/>
          <w:kern w:val="0"/>
          <w:sz w:val="32"/>
          <w:szCs w:val="32"/>
          <w:highlight w:val="none"/>
          <w:lang w:val="en-US" w:eastAsia="zh-CN"/>
        </w:rPr>
        <w:t>348.35</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，其中固定资产减少</w:t>
      </w:r>
      <w:r>
        <w:rPr>
          <w:rFonts w:hint="default" w:ascii="Times New Roman" w:hAnsi="Times New Roman" w:eastAsia="方正仿宋_GBK" w:cs="Times New Roman"/>
          <w:color w:val="000000"/>
          <w:kern w:val="0"/>
          <w:sz w:val="32"/>
          <w:szCs w:val="32"/>
          <w:highlight w:val="none"/>
          <w:lang w:val="en-US" w:eastAsia="zh-CN"/>
        </w:rPr>
        <w:t>426</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color w:val="000000"/>
          <w:kern w:val="0"/>
          <w:sz w:val="32"/>
          <w:szCs w:val="32"/>
          <w:highlight w:val="none"/>
          <w:lang w:val="en-US" w:eastAsia="zh-CN"/>
        </w:rPr>
        <w:t>953.00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0</w:t>
      </w:r>
      <w:r>
        <w:rPr>
          <w:rFonts w:hint="default" w:ascii="Times New Roman" w:hAnsi="Times New Roman" w:eastAsia="方正仿宋_GBK" w:cs="Times New Roman"/>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，实现资产使用收入</w:t>
      </w:r>
      <w:r>
        <w:rPr>
          <w:rFonts w:hint="default" w:ascii="Times New Roman" w:hAnsi="Times New Roman" w:eastAsia="方正仿宋_GBK" w:cs="Times New Roman"/>
          <w:color w:val="000000"/>
          <w:kern w:val="0"/>
          <w:sz w:val="32"/>
          <w:szCs w:val="32"/>
          <w:highlight w:val="none"/>
          <w:lang w:val="en-US" w:eastAsia="zh-CN"/>
        </w:rPr>
        <w:t>0.00</w:t>
      </w:r>
      <w:r>
        <w:rPr>
          <w:rFonts w:hint="default" w:ascii="Times New Roman" w:hAnsi="Times New Roman" w:eastAsia="方正仿宋_GBK" w:cs="Times New Roman"/>
          <w:color w:val="000000"/>
          <w:kern w:val="0"/>
          <w:sz w:val="32"/>
          <w:szCs w:val="32"/>
          <w:highlight w:val="none"/>
          <w:lang w:eastAsia="zh-CN"/>
        </w:rPr>
        <w:t>元</w:t>
      </w:r>
      <w:r>
        <w:rPr>
          <w:rFonts w:hint="default" w:ascii="Times New Roman" w:hAnsi="Times New Roman" w:eastAsia="方正仿宋_GBK" w:cs="Times New Roman"/>
          <w:color w:val="000000"/>
          <w:kern w:val="0"/>
          <w:sz w:val="32"/>
          <w:szCs w:val="32"/>
          <w:highlight w:val="none"/>
        </w:rPr>
        <w:t>。</w:t>
      </w:r>
    </w:p>
    <w:p>
      <w:pPr>
        <w:keepNext w:val="0"/>
        <w:keepLines w:val="0"/>
        <w:pageBreakBefore w:val="0"/>
        <w:widowControl/>
        <w:kinsoku/>
        <w:overflowPunct/>
        <w:topLinePunct w:val="0"/>
        <w:autoSpaceDE/>
        <w:autoSpaceDN/>
        <w:bidi w:val="0"/>
        <w:adjustRightInd/>
        <w:spacing w:line="590" w:lineRule="exact"/>
        <w:ind w:firstLine="640" w:firstLineChars="200"/>
        <w:textAlignment w:val="auto"/>
        <w:rPr>
          <w:rFonts w:hint="default" w:ascii="Times New Roman" w:hAnsi="Times New Roman" w:eastAsia="方正仿宋_GBK" w:cs="Times New Roman"/>
          <w:color w:val="000000"/>
          <w:kern w:val="0"/>
          <w:sz w:val="32"/>
          <w:szCs w:val="32"/>
          <w:highlight w:val="none"/>
          <w:lang w:eastAsia="zh-CN"/>
        </w:rPr>
      </w:pP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国有资产占有使用情况表</w:t>
      </w:r>
      <w:r>
        <w:rPr>
          <w:rFonts w:hint="default" w:ascii="Times New Roman" w:hAnsi="Times New Roman" w:eastAsia="方正仿宋_GBK" w:cs="Times New Roman"/>
          <w:color w:val="000000"/>
          <w:kern w:val="0"/>
          <w:sz w:val="32"/>
          <w:szCs w:val="32"/>
          <w:highlight w:val="none"/>
          <w:lang w:eastAsia="zh-CN"/>
        </w:rPr>
        <w:t>详见附表）</w:t>
      </w:r>
    </w:p>
    <w:tbl>
      <w:tblPr>
        <w:tblStyle w:val="5"/>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cs="Times New Roman"/>
                <w:color w:val="000000"/>
                <w:kern w:val="0"/>
                <w:sz w:val="17"/>
                <w:szCs w:val="17"/>
                <w:highlight w:val="none"/>
              </w:rPr>
            </w:pPr>
          </w:p>
        </w:tc>
      </w:tr>
      <w:tr>
        <w:tblPrEx>
          <w:tblCellMar>
            <w:top w:w="0" w:type="dxa"/>
            <w:left w:w="0" w:type="dxa"/>
            <w:bottom w:w="0" w:type="dxa"/>
            <w:right w:w="0" w:type="dxa"/>
          </w:tblCellMar>
        </w:tblPrEx>
        <w:trPr>
          <w:trHeight w:val="495" w:hRule="atLeast"/>
        </w:trPr>
        <w:tc>
          <w:tcPr>
            <w:tcW w:w="142" w:type="dxa"/>
            <w:noWrap w:val="0"/>
            <w:vAlign w:val="center"/>
          </w:tcPr>
          <w:p>
            <w:pPr>
              <w:keepNext w:val="0"/>
              <w:keepLines w:val="0"/>
              <w:pageBreakBefore w:val="0"/>
              <w:widowControl/>
              <w:kinsoku/>
              <w:overflowPunct/>
              <w:topLinePunct w:val="0"/>
              <w:autoSpaceDE/>
              <w:autoSpaceDN/>
              <w:bidi w:val="0"/>
              <w:adjustRightInd/>
              <w:spacing w:line="590" w:lineRule="exact"/>
              <w:jc w:val="left"/>
              <w:textAlignment w:val="auto"/>
              <w:rPr>
                <w:rFonts w:hint="default" w:ascii="Times New Roman" w:hAnsi="Times New Roman" w:eastAsia="Times New Roman" w:cs="Times New Roman"/>
                <w:kern w:val="0"/>
                <w:sz w:val="20"/>
                <w:szCs w:val="20"/>
                <w:highlight w:val="none"/>
              </w:rPr>
            </w:pPr>
          </w:p>
        </w:tc>
      </w:tr>
    </w:tbl>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eastAsia="zh-CN"/>
        </w:rPr>
        <w:t>三、政</w:t>
      </w:r>
      <w:r>
        <w:rPr>
          <w:rFonts w:hint="default" w:ascii="Times New Roman" w:hAnsi="Times New Roman" w:eastAsia="方正黑体_GBK" w:cs="Times New Roman"/>
          <w:sz w:val="32"/>
          <w:szCs w:val="32"/>
          <w:highlight w:val="none"/>
        </w:rPr>
        <w:t>府采购支出情况</w:t>
      </w:r>
    </w:p>
    <w:p>
      <w:pPr>
        <w:keepNext w:val="0"/>
        <w:keepLines w:val="0"/>
        <w:pageBreakBefore w:val="0"/>
        <w:kinsoku/>
        <w:overflowPunct/>
        <w:topLinePunct w:val="0"/>
        <w:autoSpaceDE/>
        <w:autoSpaceDN/>
        <w:bidi w:val="0"/>
        <w:adjustRightInd/>
        <w:spacing w:line="590" w:lineRule="exact"/>
        <w:ind w:firstLine="640" w:firstLineChars="200"/>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方正仿宋_GBK" w:cs="Times New Roman"/>
          <w:sz w:val="32"/>
          <w:szCs w:val="32"/>
          <w:highlight w:val="none"/>
          <w:lang w:val="en-US" w:eastAsia="zh-CN"/>
        </w:rPr>
        <w:t>2024年度，峨山彝族自治县锦屏中学政府采购支出总额</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color w:val="auto"/>
          <w:sz w:val="32"/>
          <w:szCs w:val="32"/>
          <w:lang w:val="zh-CN"/>
        </w:rPr>
        <w:t>434.92</w:t>
      </w:r>
      <w:r>
        <w:rPr>
          <w:rFonts w:hint="default" w:ascii="Times New Roman" w:hAnsi="Times New Roman" w:eastAsia="方正仿宋_GBK" w:cs="Times New Roman"/>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en-US"/>
        </w:rPr>
        <w:t>,</w:t>
      </w:r>
      <w:r>
        <w:rPr>
          <w:rFonts w:hint="default" w:ascii="Times New Roman" w:hAnsi="Times New Roman" w:eastAsia="方正仿宋_GBK" w:cs="Times New Roman"/>
          <w:color w:val="auto"/>
          <w:sz w:val="32"/>
          <w:szCs w:val="32"/>
          <w:lang w:val="zh-CN"/>
        </w:rPr>
        <w:t>434.92</w:t>
      </w:r>
      <w:r>
        <w:rPr>
          <w:rFonts w:hint="default" w:ascii="Times New Roman" w:hAnsi="Times New Roman" w:eastAsia="方正仿宋_GBK" w:cs="Times New Roman"/>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0.00</w:t>
      </w:r>
      <w:r>
        <w:rPr>
          <w:rFonts w:hint="default" w:ascii="Times New Roman" w:hAnsi="Times New Roman" w:eastAsia="方正仿宋_GBK" w:cs="Times New Roman"/>
          <w:sz w:val="32"/>
          <w:szCs w:val="32"/>
          <w:highlight w:val="none"/>
          <w:lang w:val="en-US" w:eastAsia="zh-CN"/>
        </w:rPr>
        <w:t>元。</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四、单位绩效自评情况</w:t>
      </w:r>
    </w:p>
    <w:p>
      <w:pPr>
        <w:keepNext w:val="0"/>
        <w:keepLines w:val="0"/>
        <w:pageBreakBefore w:val="0"/>
        <w:widowControl/>
        <w:kinsoku/>
        <w:overflowPunct/>
        <w:topLinePunct w:val="0"/>
        <w:autoSpaceDE/>
        <w:autoSpaceDN/>
        <w:bidi w:val="0"/>
        <w:adjustRightInd/>
        <w:snapToGrid w:val="0"/>
        <w:spacing w:before="100" w:after="100" w:line="590" w:lineRule="exact"/>
        <w:ind w:firstLine="6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lang w:val="zh-CN"/>
        </w:rPr>
        <w:t>峨山彝族自治县锦屏中学</w:t>
      </w:r>
      <w:r>
        <w:rPr>
          <w:rFonts w:hint="default" w:ascii="Times New Roman" w:hAnsi="Times New Roman" w:eastAsia="方正仿宋_GBK" w:cs="Times New Roman"/>
          <w:sz w:val="32"/>
          <w:szCs w:val="32"/>
          <w:highlight w:val="none"/>
          <w:lang w:val="en-US" w:eastAsia="zh-CN"/>
        </w:rPr>
        <w:t>绩效自评情况详见附表。</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五、其他重要事项情况说明</w:t>
      </w:r>
    </w:p>
    <w:p>
      <w:pPr>
        <w:keepNext w:val="0"/>
        <w:keepLines w:val="0"/>
        <w:pageBreakBefore w:val="0"/>
        <w:widowControl/>
        <w:kinsoku/>
        <w:overflowPunct/>
        <w:topLinePunct w:val="0"/>
        <w:autoSpaceDE/>
        <w:autoSpaceDN/>
        <w:bidi w:val="0"/>
        <w:adjustRightInd/>
        <w:snapToGrid w:val="0"/>
        <w:spacing w:before="100" w:after="100" w:line="590" w:lineRule="exact"/>
        <w:ind w:firstLine="600"/>
        <w:jc w:val="lef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峨山彝族自治县锦屏中学无其他重要事项情况。</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outlineLvl w:val="1"/>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六、相关口径说明</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（一）</w:t>
      </w:r>
      <w:r>
        <w:rPr>
          <w:rFonts w:hint="default" w:ascii="Times New Roman" w:hAnsi="Times New Roman" w:eastAsia="方正仿宋_GBK" w:cs="Times New Roman"/>
          <w:sz w:val="32"/>
          <w:szCs w:val="32"/>
          <w:highlight w:val="none"/>
        </w:rPr>
        <w:t>基本支出中人员经费包括工资福利支出和对个人和家庭的补助，公用</w:t>
      </w:r>
      <w:r>
        <w:rPr>
          <w:rFonts w:hint="default" w:ascii="Times New Roman" w:hAnsi="Times New Roman" w:eastAsia="方正仿宋_GBK" w:cs="Times New Roman"/>
          <w:sz w:val="32"/>
          <w:szCs w:val="32"/>
          <w:highlight w:val="none"/>
          <w:lang w:eastAsia="zh-CN"/>
        </w:rPr>
        <w:t>经费</w:t>
      </w:r>
      <w:r>
        <w:rPr>
          <w:rFonts w:hint="default" w:ascii="Times New Roman" w:hAnsi="Times New Roman" w:eastAsia="方正仿宋_GBK" w:cs="Times New Roman"/>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（二）</w:t>
      </w:r>
      <w:r>
        <w:rPr>
          <w:rFonts w:hint="default" w:ascii="Times New Roman" w:hAnsi="Times New Roman" w:eastAsia="方正仿宋_GBK" w:cs="Times New Roman"/>
          <w:sz w:val="32"/>
          <w:szCs w:val="32"/>
          <w:highlight w:val="none"/>
        </w:rPr>
        <w:t>机关运行经费指行政单位和参照公务员法管理的事业单位使用一般公共预算财政拨款安排的基本支出中的公用经费支出</w:t>
      </w:r>
      <w:r>
        <w:rPr>
          <w:rFonts w:hint="default" w:ascii="Times New Roman" w:hAnsi="Times New Roman" w:eastAsia="方正仿宋_GBK" w:cs="Times New Roman"/>
          <w:sz w:val="32"/>
          <w:szCs w:val="32"/>
          <w:highlight w:val="none"/>
          <w:lang w:eastAsia="zh-CN"/>
        </w:rPr>
        <w:t>。</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（三）</w:t>
      </w:r>
      <w:r>
        <w:rPr>
          <w:rFonts w:hint="default" w:ascii="Times New Roman" w:hAnsi="Times New Roman" w:eastAsia="方正仿宋_GBK" w:cs="Times New Roman"/>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方正仿宋_GBK" w:cs="Times New Roman"/>
          <w:sz w:val="32"/>
          <w:szCs w:val="32"/>
          <w:highlight w:val="none"/>
          <w:lang w:eastAsia="zh-CN"/>
        </w:rPr>
        <w:t>、牌照费</w:t>
      </w:r>
      <w:r>
        <w:rPr>
          <w:rFonts w:hint="default" w:ascii="Times New Roman" w:hAnsi="Times New Roman" w:eastAsia="方正仿宋_GBK" w:cs="Times New Roman"/>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default" w:ascii="Times New Roman" w:hAnsi="Times New Roman" w:eastAsia="方正仿宋_GBK" w:cs="Times New Roman"/>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（四）本文所称财政拨款</w:t>
      </w:r>
      <w:r>
        <w:rPr>
          <w:rFonts w:hint="default" w:ascii="Times New Roman" w:hAnsi="Times New Roman" w:eastAsia="方正仿宋_GBK" w:cs="Times New Roman"/>
          <w:sz w:val="32"/>
          <w:szCs w:val="32"/>
          <w:highlight w:val="none"/>
        </w:rPr>
        <w:t>“三公”经费决算数</w:t>
      </w:r>
      <w:r>
        <w:rPr>
          <w:rFonts w:hint="default" w:ascii="Times New Roman" w:hAnsi="Times New Roman" w:eastAsia="方正仿宋_GBK" w:cs="Times New Roman"/>
          <w:sz w:val="32"/>
          <w:szCs w:val="32"/>
          <w:highlight w:val="none"/>
          <w:lang w:eastAsia="zh-CN"/>
        </w:rPr>
        <w:t>是</w:t>
      </w:r>
      <w:r>
        <w:rPr>
          <w:rFonts w:hint="default" w:ascii="Times New Roman" w:hAnsi="Times New Roman" w:eastAsia="方正仿宋_GBK" w:cs="Times New Roman"/>
          <w:sz w:val="32"/>
          <w:szCs w:val="32"/>
          <w:highlight w:val="none"/>
        </w:rPr>
        <w:t>指各部门（含下属单位）</w:t>
      </w:r>
      <w:r>
        <w:rPr>
          <w:rFonts w:hint="default" w:ascii="Times New Roman" w:hAnsi="Times New Roman" w:eastAsia="方正仿宋_GBK" w:cs="Times New Roman"/>
          <w:sz w:val="32"/>
          <w:szCs w:val="32"/>
          <w:highlight w:val="none"/>
          <w:lang w:eastAsia="zh-CN"/>
        </w:rPr>
        <w:t>或单位</w:t>
      </w:r>
      <w:r>
        <w:rPr>
          <w:rFonts w:hint="default" w:ascii="Times New Roman" w:hAnsi="Times New Roman" w:eastAsia="方正仿宋_GBK" w:cs="Times New Roman"/>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adjustRightInd/>
        <w:spacing w:line="590" w:lineRule="exact"/>
        <w:jc w:val="center"/>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部分  名词解释</w:t>
      </w:r>
    </w:p>
    <w:p>
      <w:pPr>
        <w:keepNext w:val="0"/>
        <w:keepLines w:val="0"/>
        <w:pageBreakBefore w:val="0"/>
        <w:kinsoku/>
        <w:overflowPunct/>
        <w:topLinePunct w:val="0"/>
        <w:autoSpaceDE/>
        <w:autoSpaceDN/>
        <w:bidi w:val="0"/>
        <w:adjustRightInd/>
        <w:spacing w:line="590" w:lineRule="exact"/>
        <w:ind w:firstLine="640" w:firstLineChars="200"/>
        <w:jc w:val="left"/>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政府采购：是指各级国家机关、事业单位和团体组织，使用财政性资金采购依法制定的集中采购目录以内的或者采购限额标准以上的货物、工程和服务的行为。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公”经费：“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pPr>
        <w:rPr>
          <w:rFonts w:ascii="Arial" w:hAnsi="Arial" w:eastAsia="Arial" w:cs="Arial"/>
          <w:b/>
          <w:sz w:val="36"/>
        </w:rPr>
      </w:pPr>
      <w:r>
        <w:rPr>
          <w:rFonts w:ascii="Arial" w:hAnsi="Arial" w:eastAsia="Arial" w:cs="Arial"/>
          <w:b/>
          <w:sz w:val="36"/>
        </w:rPr>
        <w:t>监督索引号53042600136001201111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EF237D6B"/>
    <w:multiLevelType w:val="singleLevel"/>
    <w:tmpl w:val="EF237D6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0YTNmMzM5NjZmZjMyZThkMzg1ZDE4ODU2YWU4ZjQifQ=="/>
  </w:docVars>
  <w:rsids>
    <w:rsidRoot w:val="00000000"/>
    <w:rsid w:val="00172E78"/>
    <w:rsid w:val="00194B26"/>
    <w:rsid w:val="00A42231"/>
    <w:rsid w:val="00BE1545"/>
    <w:rsid w:val="00F44F67"/>
    <w:rsid w:val="01A85D51"/>
    <w:rsid w:val="01C05972"/>
    <w:rsid w:val="02CB1CF7"/>
    <w:rsid w:val="03101E00"/>
    <w:rsid w:val="05D11D1B"/>
    <w:rsid w:val="065C0B2C"/>
    <w:rsid w:val="081B727D"/>
    <w:rsid w:val="0A4F76B2"/>
    <w:rsid w:val="0B896BF3"/>
    <w:rsid w:val="0B8E5FB8"/>
    <w:rsid w:val="0C662A91"/>
    <w:rsid w:val="0DD34156"/>
    <w:rsid w:val="0F4C0664"/>
    <w:rsid w:val="10154012"/>
    <w:rsid w:val="10A722F8"/>
    <w:rsid w:val="139525D9"/>
    <w:rsid w:val="154420C7"/>
    <w:rsid w:val="15EA3C36"/>
    <w:rsid w:val="19063631"/>
    <w:rsid w:val="196547FC"/>
    <w:rsid w:val="1A3D3083"/>
    <w:rsid w:val="1AAD645B"/>
    <w:rsid w:val="1B2E28DE"/>
    <w:rsid w:val="1C850D11"/>
    <w:rsid w:val="1C901B90"/>
    <w:rsid w:val="20B10327"/>
    <w:rsid w:val="21771570"/>
    <w:rsid w:val="23D0581C"/>
    <w:rsid w:val="2A092F82"/>
    <w:rsid w:val="2A585CB7"/>
    <w:rsid w:val="2A5C1303"/>
    <w:rsid w:val="2AF91248"/>
    <w:rsid w:val="2B07000F"/>
    <w:rsid w:val="2C155C0E"/>
    <w:rsid w:val="2D67693D"/>
    <w:rsid w:val="2F4A02C4"/>
    <w:rsid w:val="300246FB"/>
    <w:rsid w:val="310B63FC"/>
    <w:rsid w:val="327D62BB"/>
    <w:rsid w:val="32E0684A"/>
    <w:rsid w:val="34592D57"/>
    <w:rsid w:val="372238D5"/>
    <w:rsid w:val="38804D57"/>
    <w:rsid w:val="3B556027"/>
    <w:rsid w:val="3C3F2833"/>
    <w:rsid w:val="3D006466"/>
    <w:rsid w:val="3D3103CE"/>
    <w:rsid w:val="3E686071"/>
    <w:rsid w:val="3EC96A4C"/>
    <w:rsid w:val="3F9B2476"/>
    <w:rsid w:val="3FE43E1D"/>
    <w:rsid w:val="40316F0D"/>
    <w:rsid w:val="440A5D2E"/>
    <w:rsid w:val="45A51959"/>
    <w:rsid w:val="46C67DD9"/>
    <w:rsid w:val="47C22C96"/>
    <w:rsid w:val="480D1A37"/>
    <w:rsid w:val="48343468"/>
    <w:rsid w:val="48BB1493"/>
    <w:rsid w:val="4BFB2271"/>
    <w:rsid w:val="4E2236B2"/>
    <w:rsid w:val="4EB175C0"/>
    <w:rsid w:val="4EE31744"/>
    <w:rsid w:val="4F2A2ECF"/>
    <w:rsid w:val="4F563CC4"/>
    <w:rsid w:val="52623FC3"/>
    <w:rsid w:val="536D782E"/>
    <w:rsid w:val="55515659"/>
    <w:rsid w:val="56440D1A"/>
    <w:rsid w:val="566B274A"/>
    <w:rsid w:val="572B003D"/>
    <w:rsid w:val="576F0018"/>
    <w:rsid w:val="58D2085F"/>
    <w:rsid w:val="5A6B0F6B"/>
    <w:rsid w:val="5AAE70AA"/>
    <w:rsid w:val="5B4A5024"/>
    <w:rsid w:val="5CA97B29"/>
    <w:rsid w:val="5DA86032"/>
    <w:rsid w:val="5DF67822"/>
    <w:rsid w:val="5E483371"/>
    <w:rsid w:val="6065020A"/>
    <w:rsid w:val="615A3AE7"/>
    <w:rsid w:val="624D53FA"/>
    <w:rsid w:val="65C43C25"/>
    <w:rsid w:val="66680A54"/>
    <w:rsid w:val="66A17AC3"/>
    <w:rsid w:val="67A61834"/>
    <w:rsid w:val="67EC2FBF"/>
    <w:rsid w:val="69E46644"/>
    <w:rsid w:val="6A2829D5"/>
    <w:rsid w:val="6A537326"/>
    <w:rsid w:val="6B040620"/>
    <w:rsid w:val="6B470D66"/>
    <w:rsid w:val="6C14045F"/>
    <w:rsid w:val="6C180827"/>
    <w:rsid w:val="6CF03552"/>
    <w:rsid w:val="6E891568"/>
    <w:rsid w:val="6FD902CD"/>
    <w:rsid w:val="6FE17097"/>
    <w:rsid w:val="70027824"/>
    <w:rsid w:val="706E4EB9"/>
    <w:rsid w:val="70BD199D"/>
    <w:rsid w:val="73261B3F"/>
    <w:rsid w:val="73C3551C"/>
    <w:rsid w:val="73C418BB"/>
    <w:rsid w:val="74714F78"/>
    <w:rsid w:val="74FA304A"/>
    <w:rsid w:val="758B02BC"/>
    <w:rsid w:val="75A153E9"/>
    <w:rsid w:val="76263B40"/>
    <w:rsid w:val="767E572A"/>
    <w:rsid w:val="770B3462"/>
    <w:rsid w:val="79C73ADB"/>
    <w:rsid w:val="79F301DD"/>
    <w:rsid w:val="7B007056"/>
    <w:rsid w:val="7C1A4147"/>
    <w:rsid w:val="7C2D5C29"/>
    <w:rsid w:val="7DBB361A"/>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26543-4da5-41d2-a57c-ccc74d26b59c}">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7483</Words>
  <Characters>8567</Characters>
  <Lines>0</Lines>
  <Paragraphs>0</Paragraphs>
  <TotalTime>1</TotalTime>
  <ScaleCrop>false</ScaleCrop>
  <LinksUpToDate>false</LinksUpToDate>
  <CharactersWithSpaces>8588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2025-09-23T07:10:59Z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472571F78451414D96AD398355754A16_13</vt:lpwstr>
  </property>
  <property fmtid="{D5CDD505-2E9C-101B-9397-08002B2CF9AE}" pid="3" name="KSOProductBuildVer">
    <vt:lpwstr>2052-11.8.2.12089</vt:lpwstr>
  </property>
</Properties>
</file>