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监督索引号53042600136000901000</w:t>
      </w:r>
    </w:p>
    <w:p>
      <w:pPr>
        <w:jc w:val="center"/>
        <w:outlineLvl w:val="0"/>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峨山彝族自治县塔甸中心小学校</w:t>
      </w:r>
    </w:p>
    <w:p>
      <w:pPr>
        <w:jc w:val="center"/>
        <w:outlineLvl w:val="0"/>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val="en-US" w:eastAsia="zh-CN"/>
        </w:rPr>
        <w:t>2024</w:t>
      </w:r>
      <w:r>
        <w:rPr>
          <w:rFonts w:hint="eastAsia" w:ascii="方正小标宋_GBK" w:hAnsi="方正小标宋_GBK" w:eastAsia="方正小标宋_GBK" w:cs="方正小标宋_GBK"/>
          <w:sz w:val="44"/>
          <w:szCs w:val="44"/>
          <w:highlight w:val="none"/>
        </w:rPr>
        <w:t>年度部门决算</w:t>
      </w:r>
      <w:r>
        <w:rPr>
          <w:rFonts w:hint="eastAsia" w:ascii="方正小标宋_GBK" w:hAnsi="方正小标宋_GBK" w:eastAsia="方正小标宋_GBK" w:cs="方正小标宋_GBK"/>
          <w:sz w:val="44"/>
          <w:szCs w:val="44"/>
          <w:highlight w:val="none"/>
          <w:lang w:eastAsia="zh-CN"/>
        </w:rPr>
        <w:t>目录</w:t>
      </w:r>
    </w:p>
    <w:p>
      <w:pPr>
        <w:jc w:val="left"/>
        <w:rPr>
          <w:rFonts w:hint="eastAsia" w:ascii="黑体" w:hAnsi="黑体" w:eastAsia="黑体"/>
          <w:sz w:val="30"/>
          <w:szCs w:val="30"/>
          <w:highlight w:val="none"/>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概况</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一、主要职</w:t>
      </w:r>
      <w:r>
        <w:rPr>
          <w:rFonts w:hint="eastAsia" w:ascii="方正楷体_GBK" w:hAnsi="方正楷体_GBK" w:eastAsia="方正楷体_GBK" w:cs="方正楷体_GBK"/>
          <w:sz w:val="32"/>
          <w:szCs w:val="32"/>
          <w:highlight w:val="none"/>
          <w:lang w:eastAsia="zh-CN"/>
        </w:rPr>
        <w:t>责</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二、</w:t>
      </w:r>
      <w:r>
        <w:rPr>
          <w:rFonts w:hint="eastAsia" w:ascii="方正楷体_GBK" w:hAnsi="方正楷体_GBK" w:eastAsia="方正楷体_GBK" w:cs="方正楷体_GBK"/>
          <w:sz w:val="32"/>
          <w:szCs w:val="32"/>
          <w:highlight w:val="none"/>
          <w:lang w:eastAsia="zh-CN"/>
        </w:rPr>
        <w:t>基本情况</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三、重点工作概述</w:t>
      </w:r>
    </w:p>
    <w:p>
      <w:pPr>
        <w:keepNext w:val="0"/>
        <w:keepLines w:val="0"/>
        <w:pageBreakBefore w:val="0"/>
        <w:kinsoku/>
        <w:wordWrap/>
        <w:overflowPunct/>
        <w:topLinePunct w:val="0"/>
        <w:autoSpaceDE/>
        <w:autoSpaceDN/>
        <w:bidi w:val="0"/>
        <w:adjustRightInd/>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二、收入决算表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四、财政拨款收入支出决算表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五、一般公共预算财政拨款收入支出决算表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六、一般公共预算财政拨款基本支出决算表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七、</w:t>
      </w:r>
      <w:r>
        <w:rPr>
          <w:rFonts w:hint="eastAsia" w:ascii="方正楷体_GBK" w:hAnsi="方正楷体_GBK" w:eastAsia="方正楷体_GBK" w:cs="方正楷体_GBK"/>
          <w:sz w:val="32"/>
          <w:szCs w:val="32"/>
          <w:highlight w:val="none"/>
          <w:lang w:eastAsia="zh-CN"/>
        </w:rPr>
        <w:t>一般公共预算财政拨款项目支出决算表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八</w:t>
      </w:r>
      <w:r>
        <w:rPr>
          <w:rFonts w:hint="eastAsia" w:ascii="方正楷体_GBK" w:hAnsi="方正楷体_GBK" w:eastAsia="方正楷体_GBK" w:cs="方正楷体_GBK"/>
          <w:sz w:val="32"/>
          <w:szCs w:val="32"/>
          <w:highlight w:val="none"/>
        </w:rPr>
        <w:t>、政府性基金预算财政拨款收入支出决算表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九、国有资本经营预算财政拨款收入支出决算表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十</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财政拨款</w:t>
      </w:r>
      <w:r>
        <w:rPr>
          <w:rFonts w:hint="eastAsia" w:ascii="方正楷体_GBK" w:hAnsi="方正楷体_GBK" w:eastAsia="方正楷体_GBK" w:cs="方正楷体_GBK"/>
          <w:sz w:val="32"/>
          <w:szCs w:val="32"/>
          <w:highlight w:val="none"/>
        </w:rPr>
        <w:t>“三公”经费、行政参公单位机关运行经费情况表</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val="en-US" w:eastAsia="zh-CN"/>
        </w:rPr>
        <w:t>十一、一般公共预算财政拨款“三公”经费情况表</w:t>
      </w:r>
    </w:p>
    <w:p>
      <w:pPr>
        <w:keepNext w:val="0"/>
        <w:keepLines w:val="0"/>
        <w:pageBreakBefore w:val="0"/>
        <w:kinsoku/>
        <w:wordWrap/>
        <w:overflowPunct/>
        <w:topLinePunct w:val="0"/>
        <w:autoSpaceDE/>
        <w:autoSpaceDN/>
        <w:bidi w:val="0"/>
        <w:adjustRightInd/>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一、收入决算情况说明</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二、支出决算情况说明</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三、一般公共预算财政拨款支出决算情况说明</w:t>
      </w:r>
    </w:p>
    <w:p>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四、财政拨款“三公”经费支出决算情况说明</w:t>
      </w:r>
    </w:p>
    <w:p>
      <w:pPr>
        <w:keepNext w:val="0"/>
        <w:keepLines w:val="0"/>
        <w:pageBreakBefore w:val="0"/>
        <w:kinsoku/>
        <w:wordWrap/>
        <w:overflowPunct/>
        <w:topLinePunct w:val="0"/>
        <w:autoSpaceDE/>
        <w:autoSpaceDN/>
        <w:bidi w:val="0"/>
        <w:adjustRightInd/>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第四部分</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其他重要事项及相关口径情况说明</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机关运行经费支出情况</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国有资产占用情况</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政府采购支出情况</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四、</w:t>
      </w:r>
      <w:r>
        <w:rPr>
          <w:rFonts w:hint="eastAsia" w:ascii="方正楷体_GBK" w:hAnsi="方正楷体_GBK" w:eastAsia="方正楷体_GBK" w:cs="方正楷体_GBK"/>
          <w:sz w:val="32"/>
          <w:szCs w:val="32"/>
          <w:highlight w:val="none"/>
          <w:lang w:val="en-US" w:eastAsia="zh-CN"/>
        </w:rPr>
        <w:t>单位绩效自评情况</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五、</w:t>
      </w:r>
      <w:r>
        <w:rPr>
          <w:rFonts w:hint="eastAsia" w:ascii="方正楷体_GBK" w:hAnsi="方正楷体_GBK" w:eastAsia="方正楷体_GBK" w:cs="方正楷体_GBK"/>
          <w:sz w:val="32"/>
          <w:szCs w:val="32"/>
          <w:highlight w:val="none"/>
          <w:lang w:val="en-US" w:eastAsia="zh-CN"/>
        </w:rPr>
        <w:t>其他重要事项情况说明</w:t>
      </w:r>
    </w:p>
    <w:p>
      <w:pPr>
        <w:keepNext w:val="0"/>
        <w:keepLines w:val="0"/>
        <w:pageBreakBefore w:val="0"/>
        <w:kinsoku/>
        <w:wordWrap/>
        <w:overflowPunct/>
        <w:topLinePunct w:val="0"/>
        <w:autoSpaceDE/>
        <w:autoSpaceDN/>
        <w:bidi w:val="0"/>
        <w:adjustRightInd/>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六、相关口径说明</w:t>
      </w:r>
    </w:p>
    <w:p>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jc w:val="center"/>
        <w:rPr>
          <w:rFonts w:hint="eastAsia" w:ascii="方正黑体_GBK" w:hAnsi="方正黑体_GBK" w:eastAsia="方正黑体_GBK" w:cs="方正黑体_GBK"/>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center"/>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概况</w:t>
      </w:r>
    </w:p>
    <w:p>
      <w:pPr>
        <w:spacing w:line="600" w:lineRule="exact"/>
        <w:ind w:firstLine="640" w:firstLineChars="200"/>
        <w:outlineLvl w:val="1"/>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一、主要</w:t>
      </w:r>
      <w:r>
        <w:rPr>
          <w:rFonts w:hint="eastAsia" w:ascii="方正黑体_GBK" w:hAnsi="方正黑体_GBK" w:eastAsia="方正黑体_GBK" w:cs="方正黑体_GBK"/>
          <w:sz w:val="32"/>
          <w:szCs w:val="32"/>
          <w:highlight w:val="none"/>
          <w:lang w:eastAsia="zh-CN"/>
        </w:rPr>
        <w:t>职责</w:t>
      </w:r>
    </w:p>
    <w:p>
      <w:pPr>
        <w:pStyle w:val="2"/>
        <w:keepNext w:val="0"/>
        <w:keepLines w:val="0"/>
        <w:pageBreakBefore w:val="0"/>
        <w:widowControl w:val="0"/>
        <w:kinsoku/>
        <w:wordWrap/>
        <w:overflowPunct/>
        <w:topLinePunct w:val="0"/>
        <w:autoSpaceDE/>
        <w:autoSpaceDN/>
        <w:bidi w:val="0"/>
        <w:adjustRightInd w:val="0"/>
        <w:snapToGrid w:val="0"/>
        <w:spacing w:line="590" w:lineRule="exact"/>
        <w:ind w:firstLine="672" w:firstLineChars="21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eastAsia="zh-CN"/>
        </w:rPr>
        <w:t>负责贯彻执行党的教育路线方针政策，执行上级教育部门的各种工作指导。负责实施义务教育（小学阶段）的教育教学工作及学前教育的教学工作。负责制定和实施学校发展规划和学年工作计划。负责组织和领导教职工和学生的思想政治教育工作，充分发挥党支部、工会、妇女、共青团、少先队、班主任等组织的作用。负责组织和领导学校的各项教育教学工作及安全工作</w:t>
      </w:r>
      <w:r>
        <w:rPr>
          <w:rFonts w:hint="eastAsia" w:ascii="方正仿宋_GBK" w:hAnsi="方正仿宋_GBK" w:eastAsia="方正仿宋_GBK" w:cs="方正仿宋_GBK"/>
          <w:bCs/>
          <w:sz w:val="32"/>
          <w:szCs w:val="32"/>
          <w:highlight w:val="none"/>
        </w:rPr>
        <w:t>。</w:t>
      </w:r>
    </w:p>
    <w:p>
      <w:pPr>
        <w:spacing w:line="60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二、基本情况</w:t>
      </w:r>
    </w:p>
    <w:p>
      <w:pPr>
        <w:spacing w:line="600" w:lineRule="exact"/>
        <w:ind w:firstLine="640" w:firstLineChars="200"/>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（一）机构设置情况</w:t>
      </w:r>
    </w:p>
    <w:p>
      <w:pPr>
        <w:keepNext w:val="0"/>
        <w:keepLines w:val="0"/>
        <w:pageBreakBefore w:val="0"/>
        <w:widowControl w:val="0"/>
        <w:kinsoku/>
        <w:wordWrap/>
        <w:overflowPunct/>
        <w:topLinePunct w:val="0"/>
        <w:autoSpaceDE/>
        <w:autoSpaceDN/>
        <w:bidi w:val="0"/>
        <w:spacing w:line="590" w:lineRule="exact"/>
        <w:ind w:firstLine="600"/>
        <w:textAlignment w:val="auto"/>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我单位共设置</w:t>
      </w:r>
      <w:r>
        <w:rPr>
          <w:rFonts w:hint="default" w:ascii="Times New Roman" w:hAnsi="Times New Roman" w:eastAsia="方正仿宋_GBK" w:cs="Times New Roman"/>
          <w:color w:val="auto"/>
          <w:sz w:val="32"/>
          <w:szCs w:val="32"/>
        </w:rPr>
        <w:t>6</w:t>
      </w:r>
      <w:r>
        <w:rPr>
          <w:rFonts w:hint="eastAsia" w:ascii="方正仿宋_GBK" w:hAnsi="方正仿宋_GBK" w:eastAsia="方正仿宋_GBK" w:cs="方正仿宋_GBK"/>
          <w:color w:val="auto"/>
          <w:sz w:val="32"/>
          <w:szCs w:val="32"/>
        </w:rPr>
        <w:t>个内设机构，包括：办公室、安全处、德育处、教导处、总务处、学生资助管理中心。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rPr>
        <w:t>我单位为基层预算单位，无下属单位</w:t>
      </w:r>
      <w:r>
        <w:rPr>
          <w:rFonts w:hint="eastAsia" w:ascii="方正仿宋_GBK" w:hAnsi="方正仿宋_GBK" w:eastAsia="方正仿宋_GBK" w:cs="方正仿宋_GBK"/>
          <w:color w:val="auto"/>
          <w:sz w:val="32"/>
          <w:szCs w:val="32"/>
          <w:lang w:eastAsia="zh-CN"/>
        </w:rPr>
        <w:t>。</w:t>
      </w:r>
    </w:p>
    <w:p>
      <w:pPr>
        <w:spacing w:line="600" w:lineRule="exact"/>
        <w:ind w:firstLine="640" w:firstLineChars="200"/>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决算单位构成</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lang w:val="zh-CN"/>
        </w:rPr>
        <w:t>峨山彝族自治县塔甸中心小学校</w:t>
      </w:r>
      <w:r>
        <w:rPr>
          <w:rFonts w:hint="eastAsia" w:ascii="方正仿宋_GBK" w:hAnsi="方正仿宋_GBK" w:eastAsia="方正仿宋_GBK" w:cs="方正仿宋_GBK"/>
          <w:sz w:val="32"/>
          <w:szCs w:val="32"/>
          <w:highlight w:val="none"/>
          <w:lang w:eastAsia="zh-CN"/>
        </w:rPr>
        <w:t>作为</w:t>
      </w:r>
      <w:r>
        <w:rPr>
          <w:rFonts w:hint="eastAsia" w:ascii="方正仿宋_GBK" w:hAnsi="方正仿宋_GBK" w:eastAsia="方正仿宋_GBK" w:cs="方正仿宋_GBK"/>
          <w:color w:val="auto"/>
          <w:sz w:val="32"/>
          <w:szCs w:val="32"/>
        </w:rPr>
        <w:t>峨山彝族自治县教育体育局</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lang w:eastAsia="zh-CN"/>
        </w:rPr>
        <w:t>二级预算单位</w:t>
      </w:r>
      <w:r>
        <w:rPr>
          <w:rFonts w:hint="eastAsia" w:ascii="方正仿宋_GBK" w:hAnsi="方正仿宋_GBK" w:eastAsia="方正仿宋_GBK" w:cs="方正仿宋_GBK"/>
          <w:sz w:val="32"/>
          <w:szCs w:val="32"/>
          <w:highlight w:val="none"/>
        </w:rPr>
        <w:t>纳入</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年度部门决算编报</w:t>
      </w:r>
      <w:r>
        <w:rPr>
          <w:rFonts w:hint="eastAsia" w:ascii="方正仿宋_GBK" w:hAnsi="方正仿宋_GBK" w:eastAsia="方正仿宋_GBK" w:cs="方正仿宋_GBK"/>
          <w:sz w:val="32"/>
          <w:szCs w:val="32"/>
          <w:highlight w:val="none"/>
          <w:lang w:eastAsia="zh-CN"/>
        </w:rPr>
        <w:t>范围</w:t>
      </w:r>
      <w:r>
        <w:rPr>
          <w:rFonts w:hint="eastAsia" w:ascii="方正仿宋_GBK" w:hAnsi="方正仿宋_GBK" w:eastAsia="方正仿宋_GBK" w:cs="方正仿宋_GBK"/>
          <w:sz w:val="32"/>
          <w:szCs w:val="32"/>
          <w:highlight w:val="none"/>
        </w:rPr>
        <w:t>。</w:t>
      </w:r>
    </w:p>
    <w:p>
      <w:pPr>
        <w:ind w:firstLine="640" w:firstLineChars="200"/>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单位</w:t>
      </w:r>
      <w:r>
        <w:rPr>
          <w:rFonts w:hint="eastAsia" w:ascii="方正楷体_GBK" w:hAnsi="方正楷体_GBK" w:eastAsia="方正楷体_GBK" w:cs="方正楷体_GBK"/>
          <w:sz w:val="32"/>
          <w:szCs w:val="32"/>
          <w:highlight w:val="none"/>
        </w:rPr>
        <w:t xml:space="preserve">人员和车辆的编制及实有情况 </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highlight w:val="none"/>
          <w:lang w:eastAsia="zh-CN"/>
        </w:rPr>
      </w:pPr>
      <w:r>
        <w:rPr>
          <w:rFonts w:hint="eastAsia" w:ascii="方正仿宋_GBK" w:hAnsi="方正仿宋_GBK" w:eastAsia="方正仿宋_GBK" w:cs="方正仿宋_GBK"/>
          <w:color w:val="auto"/>
          <w:sz w:val="32"/>
          <w:szCs w:val="32"/>
          <w:lang w:val="zh-CN"/>
        </w:rPr>
        <w:t>峨山彝族自治县塔甸中心小学校</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年末</w:t>
      </w:r>
      <w:r>
        <w:rPr>
          <w:rFonts w:hint="eastAsia" w:ascii="方正仿宋_GBK" w:hAnsi="方正仿宋_GBK" w:eastAsia="方正仿宋_GBK" w:cs="方正仿宋_GBK"/>
          <w:sz w:val="32"/>
          <w:szCs w:val="32"/>
          <w:highlight w:val="none"/>
          <w:lang w:eastAsia="zh-CN"/>
        </w:rPr>
        <w:t>编制内</w:t>
      </w:r>
      <w:r>
        <w:rPr>
          <w:rFonts w:hint="eastAsia" w:ascii="方正仿宋_GBK" w:hAnsi="方正仿宋_GBK" w:eastAsia="方正仿宋_GBK" w:cs="方正仿宋_GBK"/>
          <w:sz w:val="32"/>
          <w:szCs w:val="32"/>
          <w:highlight w:val="none"/>
        </w:rPr>
        <w:t>实有人员</w:t>
      </w:r>
      <w:r>
        <w:rPr>
          <w:rFonts w:hint="default" w:ascii="Times New Roman" w:hAnsi="Times New Roman" w:eastAsia="方正仿宋_GBK" w:cs="Times New Roman"/>
          <w:color w:val="auto"/>
          <w:sz w:val="32"/>
          <w:szCs w:val="32"/>
          <w:lang w:val="en-US" w:eastAsia="zh-CN"/>
        </w:rPr>
        <w:t>70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b w:val="0"/>
          <w:bCs w:val="0"/>
          <w:kern w:val="0"/>
          <w:sz w:val="32"/>
          <w:szCs w:val="32"/>
          <w:highlight w:val="none"/>
          <w:lang w:eastAsia="zh-CN"/>
        </w:rPr>
        <w:t>包括</w:t>
      </w:r>
      <w:r>
        <w:rPr>
          <w:rFonts w:hint="eastAsia" w:ascii="方正仿宋_GBK" w:hAnsi="方正仿宋_GBK" w:eastAsia="方正仿宋_GBK" w:cs="方正仿宋_GBK"/>
          <w:kern w:val="0"/>
          <w:sz w:val="32"/>
          <w:szCs w:val="32"/>
          <w:highlight w:val="none"/>
          <w:lang w:eastAsia="zh-CN"/>
        </w:rPr>
        <w:t>财政拨款开支经费的</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eastAsia="zh-CN"/>
        </w:rPr>
        <w:t>公务员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参照公务员法管理人员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事业管理人员和专业技术人员</w:t>
      </w:r>
      <w:r>
        <w:rPr>
          <w:rFonts w:hint="default" w:ascii="Times New Roman" w:hAnsi="Times New Roman" w:eastAsia="方正仿宋_GBK" w:cs="Times New Roman"/>
          <w:color w:val="auto"/>
          <w:sz w:val="32"/>
          <w:szCs w:val="32"/>
          <w:lang w:val="en-US" w:eastAsia="zh-CN"/>
        </w:rPr>
        <w:t>70</w:t>
      </w:r>
      <w:r>
        <w:rPr>
          <w:rFonts w:hint="eastAsia" w:ascii="方正仿宋_GBK" w:hAnsi="方正仿宋_GBK" w:eastAsia="方正仿宋_GBK" w:cs="方正仿宋_GBK"/>
          <w:kern w:val="0"/>
          <w:sz w:val="32"/>
          <w:szCs w:val="32"/>
          <w:highlight w:val="none"/>
        </w:rPr>
        <w:t>人，机关和事业工人</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；经费自理人员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其他人员</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sz w:val="32"/>
          <w:szCs w:val="32"/>
          <w:highlight w:val="none"/>
          <w:lang w:val="en-US" w:eastAsia="zh-CN"/>
        </w:rPr>
        <w:t>人。包括财政拨款开支经费的人员</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sz w:val="32"/>
          <w:szCs w:val="32"/>
          <w:highlight w:val="none"/>
          <w:lang w:eastAsia="zh-CN"/>
        </w:rPr>
        <w:t>人；经费自理人员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sz w:val="32"/>
          <w:szCs w:val="32"/>
          <w:highlight w:val="none"/>
          <w:lang w:eastAsia="zh-CN"/>
        </w:rPr>
        <w:t>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FF0000"/>
          <w:kern w:val="0"/>
          <w:sz w:val="32"/>
          <w:szCs w:val="32"/>
          <w:highlight w:val="none"/>
          <w:lang w:val="en-US" w:eastAsia="zh-CN"/>
        </w:rPr>
      </w:pPr>
      <w:r>
        <w:rPr>
          <w:rFonts w:hint="default" w:ascii="Times New Roman" w:hAnsi="Times New Roman" w:eastAsia="方正仿宋_GBK" w:cs="Times New Roman"/>
          <w:kern w:val="0"/>
          <w:sz w:val="32"/>
          <w:szCs w:val="32"/>
          <w:highlight w:val="none"/>
          <w:lang w:eastAsia="zh-CN"/>
        </w:rPr>
        <w:t>年末尚未移交</w:t>
      </w:r>
      <w:r>
        <w:rPr>
          <w:rFonts w:hint="default" w:ascii="Times New Roman" w:hAnsi="Times New Roman" w:eastAsia="方正仿宋_GBK" w:cs="Times New Roman"/>
          <w:kern w:val="0"/>
          <w:sz w:val="32"/>
          <w:szCs w:val="32"/>
          <w:highlight w:val="none"/>
        </w:rPr>
        <w:t>养老保险基金发放养老金的离退休人员</w:t>
      </w:r>
      <w:r>
        <w:rPr>
          <w:rFonts w:hint="default" w:ascii="Times New Roman" w:hAnsi="Times New Roman" w:eastAsia="方正仿宋_GBK" w:cs="Times New Roman"/>
          <w:kern w:val="0"/>
          <w:sz w:val="32"/>
          <w:szCs w:val="32"/>
          <w:highlight w:val="none"/>
          <w:lang w:eastAsia="zh-CN"/>
        </w:rPr>
        <w:t>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）。年末</w:t>
      </w:r>
      <w:r>
        <w:rPr>
          <w:rFonts w:hint="default" w:ascii="Times New Roman" w:hAnsi="Times New Roman" w:eastAsia="方正仿宋_GBK" w:cs="Times New Roman"/>
          <w:kern w:val="0"/>
          <w:sz w:val="32"/>
          <w:szCs w:val="32"/>
          <w:highlight w:val="none"/>
        </w:rPr>
        <w:t>由养老保险基金发放养老金的离退休人员</w:t>
      </w:r>
      <w:r>
        <w:rPr>
          <w:rFonts w:hint="default" w:ascii="Times New Roman" w:hAnsi="Times New Roman" w:eastAsia="方正仿宋_GBK" w:cs="Times New Roman"/>
          <w:color w:val="auto"/>
          <w:sz w:val="32"/>
          <w:szCs w:val="32"/>
          <w:lang w:val="en-US" w:eastAsia="zh-CN"/>
        </w:rPr>
        <w:t>57</w:t>
      </w:r>
      <w:r>
        <w:rPr>
          <w:rFonts w:hint="default" w:ascii="Times New Roman" w:hAnsi="Times New Roman" w:eastAsia="方正仿宋_GBK" w:cs="Times New Roman"/>
          <w:kern w:val="0"/>
          <w:sz w:val="32"/>
          <w:szCs w:val="32"/>
          <w:highlight w:val="none"/>
          <w:lang w:val="en-US" w:eastAsia="zh-CN"/>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57</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年末学生</w:t>
      </w:r>
      <w:r>
        <w:rPr>
          <w:rFonts w:hint="default" w:ascii="Times New Roman" w:hAnsi="Times New Roman" w:eastAsia="方正仿宋_GBK" w:cs="Times New Roman"/>
          <w:color w:val="auto"/>
          <w:sz w:val="32"/>
          <w:szCs w:val="32"/>
          <w:lang w:val="en-US" w:eastAsia="zh-CN"/>
        </w:rPr>
        <w:t>569</w:t>
      </w:r>
      <w:r>
        <w:rPr>
          <w:rFonts w:hint="default" w:ascii="Times New Roman" w:hAnsi="Times New Roman" w:eastAsia="方正仿宋_GBK" w:cs="Times New Roman"/>
          <w:kern w:val="0"/>
          <w:sz w:val="32"/>
          <w:szCs w:val="32"/>
          <w:highlight w:val="none"/>
          <w:lang w:val="en-US" w:eastAsia="zh-CN"/>
        </w:rPr>
        <w:t>人。年末遗属</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kern w:val="0"/>
          <w:sz w:val="32"/>
          <w:szCs w:val="32"/>
          <w:highlight w:val="none"/>
          <w:lang w:val="en-US" w:eastAsia="zh-CN"/>
        </w:rPr>
        <w:t>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FF0000"/>
          <w:kern w:val="0"/>
          <w:sz w:val="32"/>
          <w:szCs w:val="32"/>
          <w:highlight w:val="none"/>
        </w:rPr>
      </w:pPr>
      <w:r>
        <w:rPr>
          <w:rFonts w:hint="default" w:ascii="Times New Roman" w:hAnsi="Times New Roman" w:eastAsia="方正仿宋_GBK" w:cs="Times New Roman"/>
          <w:b w:val="0"/>
          <w:bCs w:val="0"/>
          <w:sz w:val="32"/>
          <w:szCs w:val="32"/>
          <w:highlight w:val="none"/>
          <w:u w:val="none"/>
          <w:lang w:val="en-US" w:eastAsia="zh-CN"/>
        </w:rPr>
        <w:t>车辆编制0辆，在编实有车辆0辆，超编0辆。</w:t>
      </w:r>
    </w:p>
    <w:p>
      <w:pPr>
        <w:spacing w:line="600" w:lineRule="exact"/>
        <w:ind w:firstLine="640" w:firstLineChars="200"/>
        <w:outlineLvl w:val="1"/>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三、重点工作概述</w:t>
      </w:r>
    </w:p>
    <w:p>
      <w:pPr>
        <w:pStyle w:val="9"/>
        <w:keepNext w:val="0"/>
        <w:keepLines w:val="0"/>
        <w:pageBreakBefore w:val="0"/>
        <w:widowControl w:val="0"/>
        <w:kinsoku/>
        <w:wordWrap/>
        <w:overflowPunct/>
        <w:topLinePunct w:val="0"/>
        <w:autoSpaceDE/>
        <w:autoSpaceDN/>
        <w:bidi w:val="0"/>
        <w:spacing w:line="590" w:lineRule="exact"/>
        <w:ind w:firstLine="641"/>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1.以“推进规范党支部建设”为契机，强化党建对学校工作的引领。过去的一学期，学校党支部根据峨山县委教育党工委的要求，全面学习贯彻</w:t>
      </w:r>
      <w:r>
        <w:rPr>
          <w:rFonts w:hint="default" w:ascii="Times New Roman" w:hAnsi="Times New Roman" w:eastAsia="方正仿宋_GBK" w:cs="Times New Roman"/>
          <w:color w:val="auto"/>
          <w:sz w:val="32"/>
          <w:szCs w:val="32"/>
          <w:lang w:val="zh-CN" w:eastAsia="zh-CN"/>
        </w:rPr>
        <w:t>落实党的二十大</w:t>
      </w:r>
      <w:r>
        <w:rPr>
          <w:rFonts w:hint="default" w:ascii="Times New Roman" w:hAnsi="Times New Roman" w:eastAsia="方正仿宋_GBK" w:cs="Times New Roman"/>
          <w:color w:val="auto"/>
          <w:sz w:val="32"/>
          <w:szCs w:val="32"/>
          <w:lang w:val="zh-CN"/>
        </w:rPr>
        <w:t>精神，</w:t>
      </w:r>
      <w:bookmarkStart w:id="0" w:name="_GoBack"/>
      <w:bookmarkEnd w:id="0"/>
      <w:r>
        <w:rPr>
          <w:rFonts w:hint="default" w:ascii="Times New Roman" w:hAnsi="Times New Roman" w:eastAsia="方正仿宋_GBK" w:cs="Times New Roman"/>
          <w:color w:val="auto"/>
          <w:sz w:val="32"/>
          <w:szCs w:val="32"/>
          <w:lang w:val="zh-CN"/>
        </w:rPr>
        <w:t>把政治思想建设放在首位，抓责任、抓落实，为推动学校持续发展增强动力，提供思想保障。</w:t>
      </w:r>
    </w:p>
    <w:p>
      <w:pPr>
        <w:pStyle w:val="9"/>
        <w:keepNext w:val="0"/>
        <w:keepLines w:val="0"/>
        <w:pageBreakBefore w:val="0"/>
        <w:widowControl w:val="0"/>
        <w:kinsoku/>
        <w:wordWrap/>
        <w:overflowPunct/>
        <w:topLinePunct w:val="0"/>
        <w:autoSpaceDE/>
        <w:autoSpaceDN/>
        <w:bidi w:val="0"/>
        <w:spacing w:line="590" w:lineRule="exact"/>
        <w:ind w:firstLine="641"/>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2.多渠道践行社会主义核心价值观，扎实有效地推进学校德育工作。学校教育的魂在德育。一学期以来，我们以教师业务提升、学生成长为本，开展丰富多彩的活动。通过活动积极引导广大师生践行社会主义核心价值观，充分发挥文化育人、活动育人评价激励功能，确保社会主义核心价值观工作“落小、落细、落实”。</w:t>
      </w:r>
    </w:p>
    <w:p>
      <w:pPr>
        <w:pStyle w:val="9"/>
        <w:keepNext w:val="0"/>
        <w:keepLines w:val="0"/>
        <w:pageBreakBefore w:val="0"/>
        <w:widowControl w:val="0"/>
        <w:kinsoku/>
        <w:wordWrap/>
        <w:overflowPunct/>
        <w:topLinePunct w:val="0"/>
        <w:autoSpaceDE/>
        <w:autoSpaceDN/>
        <w:bidi w:val="0"/>
        <w:spacing w:line="590" w:lineRule="exact"/>
        <w:ind w:firstLine="641"/>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3.全员参与，共建、共享平安校园。校园平安、平安校园，是师生共建，也是师生共享。学校一直贯彻落实《学校卫生工作条例》和各级安全工作会议精神，坚持不懈地搞好学校安全工作，确保师生安全和教育教学秩序的稳定。</w:t>
      </w:r>
    </w:p>
    <w:p>
      <w:pPr>
        <w:pStyle w:val="9"/>
        <w:keepNext w:val="0"/>
        <w:keepLines w:val="0"/>
        <w:pageBreakBefore w:val="0"/>
        <w:widowControl w:val="0"/>
        <w:kinsoku/>
        <w:wordWrap/>
        <w:overflowPunct/>
        <w:topLinePunct w:val="0"/>
        <w:autoSpaceDE/>
        <w:autoSpaceDN/>
        <w:bidi w:val="0"/>
        <w:spacing w:line="590" w:lineRule="exact"/>
        <w:ind w:firstLine="641"/>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4.校务会引领，工作室示范，活动作保障，促进各层次教师专业成长。（1）管理层队伍建设。通过办公室例会、业务培训、微信学习等方式，加强管理层人员的业务与意识形态领域培训，以提升履职尽责的责任感和使命感，增强执行力和战斗力。（2）发展青年教师团队，构建骨干教师队伍，采用多种方式对教师进行培训，以此提升教师业务素养，积淀学校发展后力。</w:t>
      </w:r>
    </w:p>
    <w:p>
      <w:pPr>
        <w:keepNext w:val="0"/>
        <w:keepLines w:val="0"/>
        <w:pageBreakBefore w:val="0"/>
        <w:widowControl w:val="0"/>
        <w:kinsoku/>
        <w:wordWrap/>
        <w:overflowPunct/>
        <w:topLinePunct w:val="0"/>
        <w:autoSpaceDE/>
        <w:autoSpaceDN/>
        <w:bidi w:val="0"/>
        <w:spacing w:line="590" w:lineRule="exact"/>
        <w:ind w:firstLine="6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5.抓实后勤服务，提升服务品质。（1）加强后勤工作人员思想建设，强化责任意识。（2）严肃财经纪律，规范财务管理。</w:t>
      </w:r>
    </w:p>
    <w:p>
      <w:pPr>
        <w:jc w:val="center"/>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widowControl w:val="0"/>
        <w:kinsoku/>
        <w:wordWrap/>
        <w:overflowPunct/>
        <w:topLinePunct w:val="0"/>
        <w:autoSpaceDE/>
        <w:autoSpaceDN/>
        <w:bidi w:val="0"/>
        <w:spacing w:line="590" w:lineRule="exact"/>
        <w:ind w:firstLine="640" w:firstLineChars="200"/>
        <w:jc w:val="center"/>
        <w:textAlignment w:val="auto"/>
        <w:outlineLvl w:val="1"/>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（详见附件）</w:t>
      </w:r>
    </w:p>
    <w:p>
      <w:pPr>
        <w:keepNext w:val="0"/>
        <w:keepLines w:val="0"/>
        <w:pageBreakBefore w:val="0"/>
        <w:widowControl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lang w:val="zh-CN"/>
        </w:rPr>
        <w:t>峨山彝族自治县塔甸中心小学校</w:t>
      </w:r>
      <w:r>
        <w:rPr>
          <w:rFonts w:hint="default" w:ascii="Times New Roman" w:hAnsi="Times New Roman" w:eastAsia="方正仿宋_GBK" w:cs="Times New Roman"/>
          <w:color w:val="auto"/>
          <w:sz w:val="32"/>
          <w:szCs w:val="32"/>
          <w:lang w:val="en-US" w:eastAsia="zh-CN"/>
        </w:rPr>
        <w:t>2024年度</w:t>
      </w:r>
      <w:r>
        <w:rPr>
          <w:rFonts w:hint="default" w:ascii="Times New Roman" w:hAnsi="Times New Roman" w:eastAsia="方正仿宋_GBK" w:cs="Times New Roman"/>
          <w:sz w:val="32"/>
          <w:szCs w:val="32"/>
        </w:rPr>
        <w:t>没有政府性基金收入，也没有使用政府性基金安排的支出，故《政府性基金预算财政拨款收入支出决算表》无数据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2024年度</w:t>
      </w:r>
      <w:r>
        <w:rPr>
          <w:rFonts w:hint="default" w:ascii="Times New Roman" w:hAnsi="Times New Roman" w:eastAsia="方正仿宋_GBK" w:cs="Times New Roman"/>
          <w:sz w:val="32"/>
          <w:szCs w:val="32"/>
        </w:rPr>
        <w:t>没有</w:t>
      </w:r>
      <w:r>
        <w:rPr>
          <w:rFonts w:hint="default" w:ascii="Times New Roman" w:hAnsi="Times New Roman" w:eastAsia="方正仿宋_GBK" w:cs="Times New Roman"/>
          <w:color w:val="auto"/>
          <w:sz w:val="32"/>
          <w:szCs w:val="32"/>
        </w:rPr>
        <w:t>国有资本经营</w:t>
      </w:r>
      <w:r>
        <w:rPr>
          <w:rFonts w:hint="default" w:ascii="Times New Roman" w:hAnsi="Times New Roman" w:eastAsia="方正仿宋_GBK" w:cs="Times New Roman"/>
          <w:sz w:val="32"/>
          <w:szCs w:val="32"/>
        </w:rPr>
        <w:t>收入，也没有使用</w:t>
      </w:r>
      <w:r>
        <w:rPr>
          <w:rFonts w:hint="default" w:ascii="Times New Roman" w:hAnsi="Times New Roman" w:eastAsia="方正仿宋_GBK" w:cs="Times New Roman"/>
          <w:color w:val="auto"/>
          <w:sz w:val="32"/>
          <w:szCs w:val="32"/>
        </w:rPr>
        <w:t>国有资本经营</w:t>
      </w:r>
      <w:r>
        <w:rPr>
          <w:rFonts w:hint="default" w:ascii="Times New Roman" w:hAnsi="Times New Roman" w:eastAsia="方正仿宋_GBK" w:cs="Times New Roman"/>
          <w:sz w:val="32"/>
          <w:szCs w:val="32"/>
        </w:rPr>
        <w:t>支出，故</w:t>
      </w:r>
      <w:r>
        <w:rPr>
          <w:rFonts w:hint="default" w:ascii="Times New Roman" w:hAnsi="Times New Roman" w:eastAsia="方正仿宋_GBK" w:cs="Times New Roman"/>
          <w:color w:val="auto"/>
          <w:sz w:val="32"/>
          <w:szCs w:val="32"/>
        </w:rPr>
        <w:t>《国有资本经营预算财政拨款收入支出决算表》</w:t>
      </w:r>
      <w:r>
        <w:rPr>
          <w:rFonts w:hint="default" w:ascii="Times New Roman" w:hAnsi="Times New Roman" w:eastAsia="方正仿宋_GBK" w:cs="Times New Roman"/>
          <w:sz w:val="32"/>
          <w:szCs w:val="32"/>
        </w:rPr>
        <w:t>无数据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2024年度</w:t>
      </w:r>
      <w:r>
        <w:rPr>
          <w:rFonts w:hint="default" w:ascii="Times New Roman" w:hAnsi="Times New Roman" w:eastAsia="方正仿宋_GBK" w:cs="Times New Roman"/>
          <w:sz w:val="32"/>
          <w:szCs w:val="32"/>
        </w:rPr>
        <w:t>没有</w:t>
      </w:r>
      <w:r>
        <w:rPr>
          <w:rFonts w:hint="default" w:ascii="Times New Roman" w:hAnsi="Times New Roman" w:eastAsia="方正仿宋_GBK" w:cs="Times New Roman"/>
          <w:color w:val="auto"/>
          <w:sz w:val="32"/>
          <w:szCs w:val="32"/>
        </w:rPr>
        <w:t>“三公”经费、行政参公单位机关运行经费</w:t>
      </w:r>
      <w:r>
        <w:rPr>
          <w:rFonts w:hint="default" w:ascii="Times New Roman" w:hAnsi="Times New Roman" w:eastAsia="方正仿宋_GBK" w:cs="Times New Roman"/>
          <w:color w:val="auto"/>
          <w:sz w:val="32"/>
          <w:szCs w:val="32"/>
          <w:lang w:eastAsia="zh-CN"/>
        </w:rPr>
        <w:t>收入和</w:t>
      </w:r>
      <w:r>
        <w:rPr>
          <w:rFonts w:hint="default" w:ascii="Times New Roman" w:hAnsi="Times New Roman" w:eastAsia="方正仿宋_GBK" w:cs="Times New Roman"/>
          <w:sz w:val="32"/>
          <w:szCs w:val="32"/>
        </w:rPr>
        <w:t>支出，故</w:t>
      </w:r>
      <w:r>
        <w:rPr>
          <w:rFonts w:hint="default" w:ascii="Times New Roman" w:hAnsi="Times New Roman" w:eastAsia="方正仿宋_GBK" w:cs="Times New Roman"/>
          <w:color w:val="auto"/>
          <w:sz w:val="32"/>
          <w:szCs w:val="32"/>
        </w:rPr>
        <w:t>《财政拨款“三公”经费、行政参公单位机关运行经费情况表》</w:t>
      </w:r>
      <w:r>
        <w:rPr>
          <w:rFonts w:hint="default" w:ascii="Times New Roman" w:hAnsi="Times New Roman" w:eastAsia="方正仿宋_GBK" w:cs="Times New Roman"/>
          <w:sz w:val="32"/>
          <w:szCs w:val="32"/>
        </w:rPr>
        <w:t>无数据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2024年度</w:t>
      </w:r>
      <w:r>
        <w:rPr>
          <w:rFonts w:hint="default" w:ascii="Times New Roman" w:hAnsi="Times New Roman" w:eastAsia="方正仿宋_GBK" w:cs="Times New Roman"/>
          <w:sz w:val="32"/>
          <w:szCs w:val="32"/>
        </w:rPr>
        <w:t>没有</w:t>
      </w:r>
      <w:r>
        <w:rPr>
          <w:rFonts w:hint="default" w:ascii="Times New Roman" w:hAnsi="Times New Roman" w:eastAsia="方正仿宋_GBK" w:cs="Times New Roman"/>
          <w:color w:val="auto"/>
          <w:sz w:val="32"/>
          <w:szCs w:val="32"/>
        </w:rPr>
        <w:t>一般公共预算财政拨款“三公”经费</w:t>
      </w:r>
      <w:r>
        <w:rPr>
          <w:rFonts w:hint="default" w:ascii="Times New Roman" w:hAnsi="Times New Roman" w:eastAsia="方正仿宋_GBK" w:cs="Times New Roman"/>
          <w:color w:val="auto"/>
          <w:sz w:val="32"/>
          <w:szCs w:val="32"/>
          <w:lang w:eastAsia="zh-CN"/>
        </w:rPr>
        <w:t>收入和</w:t>
      </w:r>
      <w:r>
        <w:rPr>
          <w:rFonts w:hint="default" w:ascii="Times New Roman" w:hAnsi="Times New Roman" w:eastAsia="方正仿宋_GBK" w:cs="Times New Roman"/>
          <w:sz w:val="32"/>
          <w:szCs w:val="32"/>
        </w:rPr>
        <w:t>支出，故</w:t>
      </w:r>
      <w:r>
        <w:rPr>
          <w:rFonts w:hint="default" w:ascii="Times New Roman" w:hAnsi="Times New Roman" w:eastAsia="方正仿宋_GBK" w:cs="Times New Roman"/>
          <w:color w:val="auto"/>
          <w:sz w:val="32"/>
          <w:szCs w:val="32"/>
        </w:rPr>
        <w:t>《一般公共预算财政拨款“三公”经费情况表》</w:t>
      </w:r>
      <w:r>
        <w:rPr>
          <w:rFonts w:hint="default" w:ascii="Times New Roman" w:hAnsi="Times New Roman" w:eastAsia="方正仿宋_GBK" w:cs="Times New Roman"/>
          <w:sz w:val="32"/>
          <w:szCs w:val="32"/>
        </w:rPr>
        <w:t>无数据</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一、收入决算情况说明</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lang w:val="zh-CN"/>
        </w:rPr>
        <w:t>峨山彝族自治县塔甸中心小学校</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年度收入合计</w:t>
      </w:r>
      <w:r>
        <w:rPr>
          <w:rFonts w:hint="default" w:ascii="Times New Roman" w:hAnsi="Times New Roman" w:eastAsia="方正仿宋_GBK" w:cs="Times New Roman"/>
          <w:sz w:val="32"/>
          <w:szCs w:val="32"/>
          <w:lang w:val="zh-CN"/>
        </w:rPr>
        <w:t>14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908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443.63</w:t>
      </w:r>
      <w:r>
        <w:rPr>
          <w:rFonts w:hint="default" w:ascii="Times New Roman" w:hAnsi="Times New Roman" w:eastAsia="方正仿宋_GBK" w:cs="Times New Roman"/>
          <w:sz w:val="32"/>
          <w:szCs w:val="32"/>
          <w:lang w:eastAsia="zh-CN"/>
        </w:rPr>
        <w:t>元</w:t>
      </w:r>
      <w:r>
        <w:rPr>
          <w:rFonts w:hint="default" w:ascii="Times New Roman" w:hAnsi="Times New Roman" w:eastAsia="方正仿宋_GBK" w:cs="Times New Roman"/>
          <w:sz w:val="32"/>
          <w:szCs w:val="32"/>
        </w:rPr>
        <w:t>。其中：财政拨款收入</w:t>
      </w:r>
      <w:r>
        <w:rPr>
          <w:rFonts w:hint="default" w:ascii="Times New Roman" w:hAnsi="Times New Roman" w:eastAsia="方正仿宋_GBK" w:cs="Times New Roman"/>
          <w:sz w:val="32"/>
          <w:szCs w:val="32"/>
          <w:lang w:val="zh-CN"/>
        </w:rPr>
        <w:t>14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532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693.63</w:t>
      </w:r>
      <w:r>
        <w:rPr>
          <w:rFonts w:hint="default" w:ascii="Times New Roman" w:hAnsi="Times New Roman" w:eastAsia="方正仿宋_GBK" w:cs="Times New Roman"/>
          <w:sz w:val="32"/>
          <w:szCs w:val="32"/>
          <w:lang w:eastAsia="zh-CN"/>
        </w:rPr>
        <w:t>元</w:t>
      </w:r>
      <w:r>
        <w:rPr>
          <w:rFonts w:hint="default" w:ascii="Times New Roman" w:hAnsi="Times New Roman" w:eastAsia="方正仿宋_GBK" w:cs="Times New Roman"/>
          <w:sz w:val="32"/>
          <w:szCs w:val="32"/>
        </w:rPr>
        <w:t>，占总</w:t>
      </w:r>
      <w:r>
        <w:rPr>
          <w:rFonts w:hint="default" w:ascii="Times New Roman" w:hAnsi="Times New Roman" w:eastAsia="方正仿宋_GBK" w:cs="Times New Roman"/>
          <w:sz w:val="32"/>
          <w:szCs w:val="32"/>
          <w:highlight w:val="none"/>
        </w:rPr>
        <w:t>收入的</w:t>
      </w:r>
      <w:r>
        <w:rPr>
          <w:rFonts w:hint="default" w:ascii="Times New Roman" w:hAnsi="Times New Roman" w:eastAsia="方正仿宋_GBK" w:cs="Times New Roman"/>
          <w:color w:val="auto"/>
          <w:sz w:val="32"/>
          <w:szCs w:val="32"/>
          <w:lang w:val="zh-CN"/>
        </w:rPr>
        <w:t>97.48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事业收入；</w:t>
      </w:r>
      <w:r>
        <w:rPr>
          <w:rFonts w:hint="default" w:ascii="Times New Roman" w:hAnsi="Times New Roman"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经营收入；</w:t>
      </w:r>
      <w:r>
        <w:rPr>
          <w:rFonts w:hint="default" w:ascii="Times New Roman" w:hAnsi="Times New Roman"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附属单位</w:t>
      </w:r>
      <w:r>
        <w:rPr>
          <w:rFonts w:hint="default" w:ascii="Times New Roman" w:hAnsi="Times New Roman" w:eastAsia="方正仿宋_GBK" w:cs="Times New Roman"/>
          <w:sz w:val="32"/>
          <w:szCs w:val="32"/>
          <w:highlight w:val="none"/>
          <w:lang w:eastAsia="zh-CN"/>
        </w:rPr>
        <w:t>上缴</w:t>
      </w:r>
      <w:r>
        <w:rPr>
          <w:rFonts w:hint="default" w:ascii="Times New Roman" w:hAnsi="Times New Roman" w:eastAsia="方正仿宋_GBK" w:cs="Times New Roman"/>
          <w:sz w:val="32"/>
          <w:szCs w:val="32"/>
          <w:highlight w:val="none"/>
        </w:rPr>
        <w:t>收入；其他收入</w:t>
      </w:r>
      <w:r>
        <w:rPr>
          <w:rFonts w:hint="default" w:ascii="Times New Roman" w:hAnsi="Times New Roman" w:eastAsia="方正仿宋_GBK" w:cs="Times New Roman"/>
          <w:color w:val="auto"/>
          <w:sz w:val="32"/>
          <w:szCs w:val="32"/>
          <w:lang w:val="zh-CN"/>
        </w:rPr>
        <w:t>375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750.00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2.52</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w:t>
      </w:r>
      <w:r>
        <w:rPr>
          <w:rFonts w:hint="default" w:ascii="Times New Roman" w:hAnsi="Times New Roman" w:eastAsia="方正仿宋_GBK" w:cs="Times New Roman"/>
          <w:sz w:val="32"/>
          <w:szCs w:val="32"/>
          <w:highlight w:val="none"/>
        </w:rPr>
        <w:t>收入合计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817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494.88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10.87</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财政拨款收入</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193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244.88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13.11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；其他收入增加</w:t>
      </w:r>
      <w:r>
        <w:rPr>
          <w:rFonts w:hint="default" w:ascii="Times New Roman" w:hAnsi="Times New Roman" w:eastAsia="方正仿宋_GBK" w:cs="Times New Roman"/>
          <w:color w:val="auto"/>
          <w:sz w:val="32"/>
          <w:szCs w:val="32"/>
          <w:lang w:val="zh-CN"/>
        </w:rPr>
        <w:t>375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750.00</w:t>
      </w:r>
      <w:r>
        <w:rPr>
          <w:rFonts w:hint="default" w:ascii="Times New Roman" w:hAnsi="Times New Roman" w:eastAsia="方正仿宋_GBK" w:cs="Times New Roman"/>
          <w:sz w:val="32"/>
          <w:szCs w:val="32"/>
          <w:highlight w:val="none"/>
          <w:lang w:eastAsia="zh-CN"/>
        </w:rPr>
        <w:t>元，上年无此项收入。</w:t>
      </w:r>
      <w:r>
        <w:rPr>
          <w:rFonts w:hint="default" w:ascii="Times New Roman" w:hAnsi="Times New Roman" w:eastAsia="方正仿宋_GBK" w:cs="Times New Roman"/>
          <w:color w:val="auto"/>
          <w:sz w:val="32"/>
          <w:szCs w:val="32"/>
        </w:rPr>
        <w:t>主要原因是教职工和学生数减少，导致人员经费等拨款收入减少</w:t>
      </w:r>
      <w:r>
        <w:rPr>
          <w:rFonts w:hint="default"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二、支出决算情况说明</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峨山彝族自治县塔甸中心小学校</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年度支出合计</w:t>
      </w:r>
      <w:r>
        <w:rPr>
          <w:rFonts w:hint="default" w:ascii="Times New Roman" w:hAnsi="Times New Roman" w:eastAsia="方正仿宋_GBK" w:cs="Times New Roman"/>
          <w:color w:val="auto"/>
          <w:sz w:val="32"/>
          <w:szCs w:val="32"/>
          <w:lang w:val="zh-CN"/>
        </w:rPr>
        <w:t>14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687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928.63</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color w:val="auto"/>
          <w:sz w:val="32"/>
          <w:szCs w:val="32"/>
          <w:lang w:val="zh-CN"/>
        </w:rPr>
        <w:t>13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639</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768.62</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92.86</w:t>
      </w:r>
      <w:r>
        <w:rPr>
          <w:rFonts w:hint="default" w:ascii="Times New Roman" w:hAnsi="Times New Roman" w:eastAsia="方正仿宋_GBK" w:cs="Times New Roman"/>
          <w:kern w:val="0"/>
          <w:sz w:val="32"/>
          <w:szCs w:val="32"/>
          <w:highlight w:val="none"/>
        </w:rPr>
        <w:t>％；项目支出</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048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160.01</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7.14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无</w:t>
      </w:r>
      <w:r>
        <w:rPr>
          <w:rFonts w:hint="default" w:ascii="Times New Roman" w:hAnsi="Times New Roman" w:eastAsia="方正仿宋_GBK" w:cs="Times New Roman"/>
          <w:kern w:val="0"/>
          <w:sz w:val="32"/>
          <w:szCs w:val="32"/>
          <w:highlight w:val="none"/>
        </w:rPr>
        <w:t>上缴上级支出；</w:t>
      </w:r>
      <w:r>
        <w:rPr>
          <w:rFonts w:hint="default" w:ascii="Times New Roman" w:hAnsi="Times New Roman" w:eastAsia="方正仿宋_GBK" w:cs="Times New Roman"/>
          <w:kern w:val="0"/>
          <w:sz w:val="32"/>
          <w:szCs w:val="32"/>
          <w:highlight w:val="none"/>
          <w:lang w:eastAsia="zh-CN"/>
        </w:rPr>
        <w:t>无</w:t>
      </w:r>
      <w:r>
        <w:rPr>
          <w:rFonts w:hint="default" w:ascii="Times New Roman" w:hAnsi="Times New Roman" w:eastAsia="方正仿宋_GBK" w:cs="Times New Roman"/>
          <w:kern w:val="0"/>
          <w:sz w:val="32"/>
          <w:szCs w:val="32"/>
          <w:highlight w:val="none"/>
        </w:rPr>
        <w:t>经营支出；</w:t>
      </w:r>
      <w:r>
        <w:rPr>
          <w:rFonts w:hint="default" w:ascii="Times New Roman" w:hAnsi="Times New Roman" w:eastAsia="方正仿宋_GBK" w:cs="Times New Roman"/>
          <w:kern w:val="0"/>
          <w:sz w:val="32"/>
          <w:szCs w:val="32"/>
          <w:highlight w:val="none"/>
          <w:lang w:eastAsia="zh-CN"/>
        </w:rPr>
        <w:t>无</w:t>
      </w:r>
      <w:r>
        <w:rPr>
          <w:rFonts w:hint="default" w:ascii="Times New Roman" w:hAnsi="Times New Roman" w:eastAsia="方正仿宋_GBK" w:cs="Times New Roman"/>
          <w:kern w:val="0"/>
          <w:sz w:val="32"/>
          <w:szCs w:val="32"/>
          <w:highlight w:val="none"/>
        </w:rPr>
        <w:t>对附属单位补助支出。</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color w:val="FF0000"/>
          <w:sz w:val="32"/>
          <w:szCs w:val="32"/>
          <w:highlight w:val="none"/>
          <w:lang w:eastAsia="zh-CN"/>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相比，支出</w:t>
      </w:r>
      <w:r>
        <w:rPr>
          <w:rFonts w:hint="default" w:ascii="Times New Roman" w:hAnsi="Times New Roman" w:eastAsia="方正仿宋_GBK" w:cs="Times New Roman"/>
          <w:sz w:val="32"/>
          <w:szCs w:val="32"/>
          <w:highlight w:val="none"/>
        </w:rPr>
        <w:t>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038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009.88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12.18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170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900.80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13.73</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；项目支出增加</w:t>
      </w:r>
      <w:r>
        <w:rPr>
          <w:rFonts w:hint="default" w:ascii="Times New Roman" w:hAnsi="Times New Roman" w:eastAsia="方正仿宋_GBK" w:cs="Times New Roman"/>
          <w:color w:val="auto"/>
          <w:sz w:val="32"/>
          <w:szCs w:val="32"/>
          <w:lang w:val="zh-CN"/>
        </w:rPr>
        <w:t>132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890.92</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color w:val="auto"/>
          <w:sz w:val="32"/>
          <w:szCs w:val="32"/>
          <w:lang w:val="zh-CN"/>
        </w:rPr>
        <w:t>14.52</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color w:val="auto"/>
          <w:sz w:val="32"/>
          <w:szCs w:val="32"/>
        </w:rPr>
        <w:t>教师和学生数减少，基本支出减少，本年抚恤金、课后服务</w:t>
      </w:r>
      <w:r>
        <w:rPr>
          <w:rFonts w:hint="default" w:ascii="Times New Roman" w:hAnsi="Times New Roman" w:eastAsia="方正仿宋_GBK" w:cs="Times New Roman"/>
          <w:color w:val="auto"/>
          <w:sz w:val="32"/>
          <w:szCs w:val="32"/>
          <w:lang w:eastAsia="zh-CN"/>
        </w:rPr>
        <w:t>自有</w:t>
      </w:r>
      <w:r>
        <w:rPr>
          <w:rFonts w:hint="default" w:ascii="Times New Roman" w:hAnsi="Times New Roman" w:eastAsia="方正仿宋_GBK" w:cs="Times New Roman"/>
          <w:color w:val="auto"/>
          <w:sz w:val="32"/>
          <w:szCs w:val="32"/>
        </w:rPr>
        <w:t>资金项目的实施，导致项目支出增长较大</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（一）基本支出情况</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峨山彝族自治县塔甸中心小学校</w:t>
      </w:r>
      <w:r>
        <w:rPr>
          <w:rFonts w:hint="default" w:ascii="Times New Roman" w:hAnsi="Times New Roman" w:eastAsia="方正仿宋_GBK" w:cs="Times New Roman"/>
          <w:sz w:val="32"/>
          <w:szCs w:val="32"/>
          <w:highlight w:val="none"/>
        </w:rPr>
        <w:t>机构正常运转的日常支出</w:t>
      </w:r>
      <w:r>
        <w:rPr>
          <w:rFonts w:hint="default" w:ascii="Times New Roman" w:hAnsi="Times New Roman" w:eastAsia="方正仿宋_GBK" w:cs="Times New Roman"/>
          <w:color w:val="auto"/>
          <w:sz w:val="32"/>
          <w:szCs w:val="32"/>
          <w:lang w:val="zh-CN"/>
        </w:rPr>
        <w:t>13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639</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768.62</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基本工资、津贴补贴等人员经费支出</w:t>
      </w:r>
      <w:r>
        <w:rPr>
          <w:rFonts w:hint="default" w:ascii="Times New Roman" w:hAnsi="Times New Roman" w:eastAsia="方正仿宋_GBK" w:cs="Times New Roman"/>
          <w:color w:val="auto"/>
          <w:sz w:val="32"/>
          <w:szCs w:val="32"/>
          <w:lang w:val="zh-CN"/>
        </w:rPr>
        <w:t>13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313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370.15</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97.61</w:t>
      </w:r>
      <w:r>
        <w:rPr>
          <w:rFonts w:hint="default" w:ascii="Times New Roman" w:hAnsi="Times New Roman" w:eastAsia="方正仿宋_GBK" w:cs="Times New Roman"/>
          <w:sz w:val="32"/>
          <w:szCs w:val="32"/>
          <w:highlight w:val="none"/>
        </w:rPr>
        <w:t>％；办公费、印刷费、水电费、办公设备购置等公用经费</w:t>
      </w:r>
      <w:r>
        <w:rPr>
          <w:rFonts w:hint="default" w:ascii="Times New Roman" w:hAnsi="Times New Roman" w:eastAsia="方正仿宋_GBK" w:cs="Times New Roman"/>
          <w:color w:val="auto"/>
          <w:sz w:val="32"/>
          <w:szCs w:val="32"/>
          <w:lang w:val="zh-CN"/>
        </w:rPr>
        <w:t>326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398.47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2.39</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（二）项目支出情况</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峨山彝族自治县塔甸中心小学校</w:t>
      </w:r>
      <w:r>
        <w:rPr>
          <w:rFonts w:hint="default" w:ascii="Times New Roman" w:hAnsi="Times New Roman" w:eastAsia="方正仿宋_GBK" w:cs="Times New Roman"/>
          <w:sz w:val="32"/>
          <w:szCs w:val="32"/>
          <w:highlight w:val="none"/>
        </w:rPr>
        <w:t>为完成特定的行政工作任务或事业发展目标，用于专项业务工作的经费支出</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048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160.01</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其中：基本建设类项目支出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auto"/>
          <w:sz w:val="32"/>
          <w:szCs w:val="32"/>
        </w:rPr>
        <w:t>具体项目开支及开展工作情况：1.峨财预〔2024〕8号峨山县塔甸小学非税收入补助资金</w:t>
      </w:r>
      <w:r>
        <w:rPr>
          <w:rFonts w:hint="default" w:ascii="Times New Roman" w:hAnsi="Times New Roman" w:eastAsia="方正仿宋_GBK" w:cs="Times New Roman"/>
          <w:color w:val="auto"/>
          <w:sz w:val="32"/>
          <w:szCs w:val="32"/>
          <w:lang w:val="en-US" w:eastAsia="zh-CN"/>
        </w:rPr>
        <w:t>8,242</w:t>
      </w:r>
      <w:r>
        <w:rPr>
          <w:rFonts w:hint="default" w:ascii="Times New Roman" w:hAnsi="Times New Roman" w:eastAsia="方正仿宋_GBK" w:cs="Times New Roman"/>
          <w:color w:val="auto"/>
          <w:sz w:val="32"/>
          <w:szCs w:val="32"/>
        </w:rPr>
        <w:t>.00元；</w:t>
      </w:r>
      <w:r>
        <w:rPr>
          <w:rFonts w:hint="default" w:ascii="Times New Roman" w:hAnsi="Times New Roman" w:eastAsia="方正仿宋_GBK" w:cs="Times New Roman"/>
          <w:color w:val="auto"/>
          <w:sz w:val="32"/>
          <w:szCs w:val="32"/>
          <w:lang w:val="en-US" w:eastAsia="zh-CN"/>
        </w:rPr>
        <w:t>2.峨财预〔2024〕8号义务教育课后服务自有资金145,250.00元；3.峨财教〔2024〕2号城乡义务教育阶段公用经费专项资金中央直达资金48,038.00元；4.玉财教〔2023〕122号农村义务教育学生营养改善计划补助资金595,427.50元；5.峨财预〔2024〕8号峨山县塔甸小学离岗民师生活补助资金37,242.00元；6.玉财教〔2023〕8号城乡义务教育阶段公用经费专项资金86,668.51元；7.峨财预追〔2024〕1号资助中心补助资金9,985.00元；8.玉财教〔2023〕270号塔甸小学义务教育课后服务费省级资金55,443.00元；9.峨财预〔2024〕8号峨山县塔甸小学遗属生活困难补助资金61,864.00元。</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三、一般公共预算财政拨款支出决算情况说明</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（一）一般公共预算财政拨款支出决算总体情况</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峨山彝族自治县塔甸中心小学校</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年度一般公共预算财政拨款支出</w:t>
      </w:r>
      <w:r>
        <w:rPr>
          <w:rFonts w:hint="default" w:ascii="Times New Roman" w:hAnsi="Times New Roman" w:eastAsia="方正仿宋_GBK" w:cs="Times New Roman"/>
          <w:color w:val="auto"/>
          <w:kern w:val="0"/>
          <w:sz w:val="32"/>
          <w:szCs w:val="32"/>
          <w:lang w:val="zh-CN"/>
        </w:rPr>
        <w:t>14</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532</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693.63</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,占本年支出合计的</w:t>
      </w:r>
      <w:r>
        <w:rPr>
          <w:rFonts w:hint="default" w:ascii="Times New Roman" w:hAnsi="Times New Roman" w:eastAsia="方正仿宋_GBK" w:cs="Times New Roman"/>
          <w:color w:val="auto"/>
          <w:sz w:val="32"/>
          <w:szCs w:val="32"/>
          <w:lang w:val="zh-CN"/>
        </w:rPr>
        <w:t>98.94</w:t>
      </w:r>
      <w:r>
        <w:rPr>
          <w:rFonts w:hint="default" w:ascii="Times New Roman" w:hAnsi="Times New Roman" w:eastAsia="方正仿宋_GBK" w:cs="Times New Roman"/>
          <w:kern w:val="0"/>
          <w:sz w:val="32"/>
          <w:szCs w:val="32"/>
          <w:highlight w:val="none"/>
        </w:rPr>
        <w:t>%。与上年</w:t>
      </w:r>
      <w:r>
        <w:rPr>
          <w:rFonts w:hint="default" w:ascii="Times New Roman" w:hAnsi="Times New Roman" w:eastAsia="方正仿宋_GBK" w:cs="Times New Roman"/>
          <w:kern w:val="0"/>
          <w:sz w:val="32"/>
          <w:szCs w:val="32"/>
          <w:highlight w:val="none"/>
          <w:lang w:eastAsia="zh-CN"/>
        </w:rPr>
        <w:t>相比</w:t>
      </w:r>
      <w:r>
        <w:rPr>
          <w:rFonts w:hint="default" w:ascii="Times New Roman" w:hAnsi="Times New Roman" w:eastAsia="方正仿宋_GBK" w:cs="Times New Roman"/>
          <w:kern w:val="0"/>
          <w:sz w:val="32"/>
          <w:szCs w:val="32"/>
          <w:highlight w:val="none"/>
        </w:rPr>
        <w:t>减少</w:t>
      </w:r>
      <w:r>
        <w:rPr>
          <w:rFonts w:hint="default" w:ascii="Times New Roman" w:hAnsi="Times New Roman" w:eastAsia="方正仿宋_GBK" w:cs="Times New Roman"/>
          <w:color w:val="auto"/>
          <w:kern w:val="0"/>
          <w:sz w:val="32"/>
          <w:szCs w:val="32"/>
          <w:lang w:val="zh-CN"/>
        </w:rPr>
        <w:t>2</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193</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244.88</w:t>
      </w:r>
      <w:r>
        <w:rPr>
          <w:rFonts w:hint="default" w:ascii="Times New Roman" w:hAnsi="Times New Roman" w:eastAsia="方正仿宋_GBK" w:cs="Times New Roman"/>
          <w:kern w:val="0"/>
          <w:sz w:val="32"/>
          <w:szCs w:val="32"/>
          <w:highlight w:val="none"/>
        </w:rPr>
        <w:t>元，下降</w:t>
      </w:r>
      <w:r>
        <w:rPr>
          <w:rFonts w:hint="default" w:ascii="Times New Roman" w:hAnsi="Times New Roman" w:eastAsia="方正仿宋_GBK" w:cs="Times New Roman"/>
          <w:color w:val="auto"/>
          <w:kern w:val="0"/>
          <w:sz w:val="32"/>
          <w:szCs w:val="32"/>
          <w:lang w:val="zh-CN"/>
        </w:rPr>
        <w:t>13.11</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sz w:val="32"/>
          <w:szCs w:val="32"/>
          <w:lang w:val="zh-CN"/>
        </w:rPr>
        <w:t>79.71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仿宋_GBK" w:hAnsi="方正仿宋_GBK" w:eastAsia="方正仿宋_GBK" w:cs="方正仿宋_GBK"/>
          <w:sz w:val="32"/>
          <w:szCs w:val="32"/>
          <w:highlight w:val="none"/>
        </w:rPr>
      </w:pPr>
      <w:r>
        <w:rPr>
          <w:rFonts w:hint="eastAsia" w:ascii="方正楷体_GBK" w:hAnsi="方正楷体_GBK" w:eastAsia="方正楷体_GBK" w:cs="方正楷体_GBK"/>
          <w:sz w:val="32"/>
          <w:szCs w:val="32"/>
          <w:highlight w:val="none"/>
        </w:rPr>
        <w:t>（二）一般公共预算财政拨款支出决算</w:t>
      </w:r>
      <w:r>
        <w:rPr>
          <w:rFonts w:hint="eastAsia" w:ascii="方正楷体_GBK" w:hAnsi="方正楷体_GBK" w:eastAsia="方正楷体_GBK" w:cs="方正楷体_GBK"/>
          <w:sz w:val="32"/>
          <w:szCs w:val="32"/>
          <w:highlight w:val="none"/>
          <w:lang w:eastAsia="zh-CN"/>
        </w:rPr>
        <w:t>分功能分类科目情况</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1.一般公共服务（类）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2.外交（类）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3.国防（类）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4.公共安全（类）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5.教育（类）支出</w:t>
      </w:r>
      <w:r>
        <w:rPr>
          <w:rFonts w:hint="default" w:ascii="Times New Roman" w:hAnsi="Times New Roman" w:eastAsia="方正仿宋_GBK" w:cs="Times New Roman"/>
          <w:color w:val="auto"/>
          <w:kern w:val="0"/>
          <w:sz w:val="32"/>
          <w:szCs w:val="32"/>
          <w:lang w:val="en-US" w:eastAsia="zh-CN"/>
        </w:rPr>
        <w:t>11,343,115.12</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78.05</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95.72</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0"/>
          <w:sz w:val="32"/>
          <w:szCs w:val="32"/>
          <w:highlight w:val="none"/>
        </w:rPr>
        <w:t>主要用于</w:t>
      </w:r>
      <w:r>
        <w:rPr>
          <w:rFonts w:hint="default" w:ascii="Times New Roman" w:hAnsi="Times New Roman" w:eastAsia="方正仿宋_GBK" w:cs="Times New Roman"/>
          <w:color w:val="auto"/>
          <w:sz w:val="32"/>
          <w:szCs w:val="32"/>
        </w:rPr>
        <w:t>除科学技术支出、社保、医疗、住房保障外的人员经费支出和公用经费支出</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造成预决算差异的主要原因是</w:t>
      </w:r>
      <w:r>
        <w:rPr>
          <w:rFonts w:hint="default" w:ascii="Times New Roman" w:hAnsi="Times New Roman" w:eastAsia="方正仿宋_GBK" w:cs="Times New Roman"/>
          <w:color w:val="auto"/>
          <w:kern w:val="0"/>
          <w:sz w:val="32"/>
          <w:szCs w:val="32"/>
          <w:highlight w:val="none"/>
          <w:lang w:val="en-US" w:eastAsia="zh-CN"/>
        </w:rPr>
        <w:t>遗属补助、临聘人员劳务费等项目未完全实施</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6.科学技术（类）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7.文化旅游体育与传媒（类）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8.社会保障和就业（类）支出</w:t>
      </w:r>
      <w:r>
        <w:rPr>
          <w:rFonts w:hint="default" w:ascii="Times New Roman" w:hAnsi="Times New Roman" w:eastAsia="方正仿宋_GBK" w:cs="Times New Roman"/>
          <w:color w:val="auto"/>
          <w:kern w:val="0"/>
          <w:sz w:val="32"/>
          <w:szCs w:val="32"/>
          <w:lang w:val="en-US" w:eastAsia="zh-CN"/>
        </w:rPr>
        <w:t>1,918,463.09</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13.20</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61.93</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0"/>
          <w:sz w:val="32"/>
          <w:szCs w:val="32"/>
          <w:highlight w:val="none"/>
        </w:rPr>
        <w:t>主要用于</w:t>
      </w:r>
      <w:r>
        <w:rPr>
          <w:rFonts w:hint="default" w:ascii="Times New Roman" w:hAnsi="Times New Roman" w:eastAsia="方正仿宋_GBK" w:cs="Times New Roman"/>
          <w:color w:val="auto"/>
          <w:sz w:val="32"/>
          <w:szCs w:val="32"/>
        </w:rPr>
        <w:t>在职人员养老保险支出及离退休人员的离退休经费开支</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造成预决算差异的主要原因是离退休人员生活补助等项目未完全实施。</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9.卫生健康（类）支出</w:t>
      </w:r>
      <w:r>
        <w:rPr>
          <w:rFonts w:hint="default" w:ascii="Times New Roman" w:hAnsi="Times New Roman" w:eastAsia="方正仿宋_GBK" w:cs="Times New Roman"/>
          <w:color w:val="auto"/>
          <w:kern w:val="0"/>
          <w:sz w:val="32"/>
          <w:szCs w:val="32"/>
          <w:lang w:val="zh-CN"/>
        </w:rPr>
        <w:t>833</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840.42</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5.74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94.03</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0"/>
          <w:sz w:val="32"/>
          <w:szCs w:val="32"/>
          <w:highlight w:val="none"/>
        </w:rPr>
        <w:t>主要用于</w:t>
      </w:r>
      <w:r>
        <w:rPr>
          <w:rFonts w:hint="default" w:ascii="Times New Roman" w:hAnsi="Times New Roman" w:eastAsia="方正仿宋_GBK" w:cs="Times New Roman"/>
          <w:color w:val="auto"/>
          <w:sz w:val="32"/>
          <w:szCs w:val="32"/>
        </w:rPr>
        <w:t>教职工的基本医疗保险缴费支出</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造成预决算差异的主要原因是教职工人数变动及保险基数调整等。</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10.节能环保（类）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11.城乡社区（类）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12.农林水（类）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13.交通运输（类）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14.资源勘探工业信息等（类）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15.商业服务业等（类）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16.金融（类）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17.援助其他地区（类）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18.自然资源海洋气象等（类）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19.住房保障（类）支出</w:t>
      </w:r>
      <w:r>
        <w:rPr>
          <w:rFonts w:hint="default" w:ascii="Times New Roman" w:hAnsi="Times New Roman" w:eastAsia="方正仿宋_GBK" w:cs="Times New Roman"/>
          <w:color w:val="auto"/>
          <w:kern w:val="0"/>
          <w:sz w:val="32"/>
          <w:szCs w:val="32"/>
          <w:lang w:val="zh-CN"/>
        </w:rPr>
        <w:t>437</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275.00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3.01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18.24</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0"/>
          <w:sz w:val="32"/>
          <w:szCs w:val="32"/>
          <w:highlight w:val="none"/>
        </w:rPr>
        <w:t>主要用于</w:t>
      </w:r>
      <w:r>
        <w:rPr>
          <w:rFonts w:hint="default" w:ascii="Times New Roman" w:hAnsi="Times New Roman" w:eastAsia="方正仿宋_GBK" w:cs="Times New Roman"/>
          <w:color w:val="auto"/>
          <w:sz w:val="32"/>
          <w:szCs w:val="32"/>
        </w:rPr>
        <w:t>按规定比例为教职工缴纳的住房公积金支出</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造成预决算差异的主要原因是住房公积金单位部分未按时缴纳。</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20.粮油物资储备（类）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21.国有资本经营预算（类）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22.灾害防治及应急管理（类）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23.其他（类）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24.债务还本（类）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25.债务付息（类）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lang w:val="en-US"/>
        </w:rPr>
        <w:t>26.抗疫特别国债安排（类）</w:t>
      </w:r>
      <w:r>
        <w:rPr>
          <w:rFonts w:hint="default" w:ascii="Times New Roman" w:hAnsi="Times New Roman" w:eastAsia="方正仿宋_GBK" w:cs="Times New Roman"/>
          <w:color w:val="auto"/>
          <w:kern w:val="0"/>
          <w:sz w:val="32"/>
          <w:szCs w:val="32"/>
          <w:highlight w:val="none"/>
          <w:lang w:eastAsia="zh-CN"/>
        </w:rPr>
        <w:t>无</w:t>
      </w:r>
      <w:r>
        <w:rPr>
          <w:rFonts w:hint="default" w:ascii="Times New Roman" w:hAnsi="Times New Roman" w:eastAsia="方正仿宋_GBK" w:cs="Times New Roman"/>
          <w:color w:val="auto"/>
          <w:kern w:val="0"/>
          <w:sz w:val="32"/>
          <w:szCs w:val="32"/>
          <w:highlight w:val="none"/>
        </w:rPr>
        <w:t>支出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0"/>
          <w:sz w:val="32"/>
          <w:szCs w:val="32"/>
          <w:highlight w:val="none"/>
          <w:lang w:val="en-US" w:eastAsia="zh-CN"/>
        </w:rPr>
        <w:t>2024</w:t>
      </w:r>
      <w:r>
        <w:rPr>
          <w:rFonts w:hint="default" w:ascii="Times New Roman" w:hAnsi="Times New Roman" w:eastAsia="方正仿宋_GBK" w:cs="Times New Roman"/>
          <w:kern w:val="0"/>
          <w:sz w:val="32"/>
          <w:szCs w:val="32"/>
          <w:highlight w:val="none"/>
        </w:rPr>
        <w:t>年度财政拨款“三公”经费支出决算中，财政拨款“三公”经费支出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kern w:val="0"/>
          <w:sz w:val="32"/>
          <w:szCs w:val="32"/>
          <w:lang w:val="en-US" w:eastAsia="zh-CN"/>
        </w:rPr>
        <w:t>0.00</w:t>
      </w:r>
      <w:r>
        <w:rPr>
          <w:rFonts w:hint="default" w:ascii="Times New Roman" w:hAnsi="Times New Roman" w:eastAsia="方正仿宋_GBK" w:cs="Times New Roman"/>
          <w:kern w:val="0"/>
          <w:sz w:val="32"/>
          <w:szCs w:val="32"/>
          <w:highlight w:val="none"/>
        </w:rPr>
        <w:t>元，决算为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；支出决算较上年增</w:t>
      </w:r>
      <w:r>
        <w:rPr>
          <w:rFonts w:hint="default" w:ascii="Times New Roman" w:hAnsi="Times New Roman" w:eastAsia="方正仿宋_GBK" w:cs="Times New Roman"/>
          <w:color w:val="auto"/>
          <w:kern w:val="0"/>
          <w:sz w:val="32"/>
          <w:szCs w:val="32"/>
          <w:highlight w:val="none"/>
          <w:lang w:eastAsia="zh-CN"/>
        </w:rPr>
        <w:t>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0"/>
          <w:sz w:val="32"/>
          <w:szCs w:val="32"/>
          <w:highlight w:val="none"/>
        </w:rPr>
        <w:t>因公出国（境）费支出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0.00</w:t>
      </w:r>
      <w:r>
        <w:rPr>
          <w:rFonts w:hint="default" w:ascii="Times New Roman" w:hAnsi="Times New Roman" w:eastAsia="方正仿宋_GBK" w:cs="Times New Roman"/>
          <w:kern w:val="0"/>
          <w:sz w:val="32"/>
          <w:szCs w:val="32"/>
          <w:highlight w:val="none"/>
        </w:rPr>
        <w:t>%；公务用车购置费支出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0.00</w:t>
      </w:r>
      <w:r>
        <w:rPr>
          <w:rFonts w:hint="default" w:ascii="Times New Roman" w:hAnsi="Times New Roman" w:eastAsia="方正仿宋_GBK" w:cs="Times New Roman"/>
          <w:kern w:val="0"/>
          <w:sz w:val="32"/>
          <w:szCs w:val="32"/>
          <w:highlight w:val="none"/>
        </w:rPr>
        <w:t>%；公务用车</w:t>
      </w:r>
      <w:r>
        <w:rPr>
          <w:rFonts w:hint="default" w:ascii="Times New Roman" w:hAnsi="Times New Roman" w:eastAsia="方正仿宋_GBK" w:cs="Times New Roman"/>
          <w:kern w:val="0"/>
          <w:sz w:val="32"/>
          <w:szCs w:val="32"/>
          <w:highlight w:val="none"/>
          <w:lang w:eastAsia="zh-CN"/>
        </w:rPr>
        <w:t>运行维护</w:t>
      </w:r>
      <w:r>
        <w:rPr>
          <w:rFonts w:hint="default" w:ascii="Times New Roman" w:hAnsi="Times New Roman" w:eastAsia="方正仿宋_GBK" w:cs="Times New Roman"/>
          <w:kern w:val="0"/>
          <w:sz w:val="32"/>
          <w:szCs w:val="32"/>
          <w:highlight w:val="none"/>
        </w:rPr>
        <w:t>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0.00</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公务接待费支出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w:t>
      </w:r>
      <w:r>
        <w:rPr>
          <w:rFonts w:hint="default" w:ascii="Times New Roman" w:hAnsi="Times New Roman" w:eastAsia="方正仿宋_GBK" w:cs="Times New Roman"/>
          <w:color w:val="auto"/>
          <w:kern w:val="0"/>
          <w:sz w:val="32"/>
          <w:szCs w:val="32"/>
          <w:highlight w:val="none"/>
        </w:rPr>
        <w:t>公”经费</w:t>
      </w:r>
      <w:r>
        <w:rPr>
          <w:rFonts w:hint="default" w:ascii="Times New Roman" w:hAnsi="Times New Roman" w:eastAsia="方正仿宋_GBK" w:cs="Times New Roman"/>
          <w:color w:val="auto"/>
          <w:kern w:val="0"/>
          <w:sz w:val="32"/>
          <w:szCs w:val="32"/>
          <w:highlight w:val="none"/>
          <w:lang w:eastAsia="zh-CN"/>
        </w:rPr>
        <w:t>总支出决算的</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kern w:val="0"/>
          <w:sz w:val="32"/>
          <w:szCs w:val="32"/>
          <w:highlight w:val="none"/>
          <w:lang w:eastAsia="zh-CN"/>
        </w:rPr>
        <w:t>因公出国（境）费支出决算较上年增加</w:t>
      </w:r>
      <w:r>
        <w:rPr>
          <w:rFonts w:hint="default" w:ascii="Times New Roman" w:hAnsi="Times New Roman" w:eastAsia="方正仿宋_GBK" w:cs="Times New Roman"/>
          <w:kern w:val="0"/>
          <w:sz w:val="32"/>
          <w:szCs w:val="32"/>
          <w:highlight w:val="none"/>
          <w:lang w:val="zh-CN" w:eastAsia="zh-CN"/>
        </w:rPr>
        <w:t>0.00</w:t>
      </w:r>
      <w:r>
        <w:rPr>
          <w:rFonts w:hint="default" w:ascii="Times New Roman" w:hAnsi="Times New Roman" w:eastAsia="方正仿宋_GBK" w:cs="Times New Roman"/>
          <w:kern w:val="0"/>
          <w:sz w:val="32"/>
          <w:szCs w:val="32"/>
          <w:highlight w:val="none"/>
          <w:lang w:val="en-US" w:eastAsia="zh-CN"/>
        </w:rPr>
        <w:t>元，</w:t>
      </w:r>
      <w:r>
        <w:rPr>
          <w:rFonts w:hint="default" w:ascii="Times New Roman" w:hAnsi="Times New Roman" w:eastAsia="方正仿宋_GBK" w:cs="Times New Roman"/>
          <w:kern w:val="0"/>
          <w:sz w:val="32"/>
          <w:szCs w:val="32"/>
          <w:highlight w:val="none"/>
          <w:lang w:eastAsia="zh-CN"/>
        </w:rPr>
        <w:t>上年无此项支出；公务用车购置费支出决算较上年增加</w:t>
      </w:r>
      <w:r>
        <w:rPr>
          <w:rFonts w:hint="default" w:ascii="Times New Roman" w:hAnsi="Times New Roman" w:eastAsia="方正仿宋_GBK" w:cs="Times New Roman"/>
          <w:kern w:val="0"/>
          <w:sz w:val="32"/>
          <w:szCs w:val="32"/>
          <w:highlight w:val="none"/>
          <w:lang w:val="zh-CN" w:eastAsia="zh-CN"/>
        </w:rPr>
        <w:t>0.00</w:t>
      </w:r>
      <w:r>
        <w:rPr>
          <w:rFonts w:hint="default" w:ascii="Times New Roman" w:hAnsi="Times New Roman" w:eastAsia="方正仿宋_GBK" w:cs="Times New Roman"/>
          <w:kern w:val="0"/>
          <w:sz w:val="32"/>
          <w:szCs w:val="32"/>
          <w:highlight w:val="none"/>
          <w:lang w:val="en-US" w:eastAsia="zh-CN"/>
        </w:rPr>
        <w:t>元，</w:t>
      </w:r>
      <w:r>
        <w:rPr>
          <w:rFonts w:hint="default" w:ascii="Times New Roman" w:hAnsi="Times New Roman" w:eastAsia="方正仿宋_GBK" w:cs="Times New Roman"/>
          <w:kern w:val="0"/>
          <w:sz w:val="32"/>
          <w:szCs w:val="32"/>
          <w:highlight w:val="none"/>
          <w:lang w:eastAsia="zh-CN"/>
        </w:rPr>
        <w:t>上年无</w:t>
      </w:r>
      <w:r>
        <w:rPr>
          <w:rFonts w:hint="default" w:ascii="Times New Roman" w:hAnsi="Times New Roman" w:eastAsia="方正仿宋_GBK" w:cs="Times New Roman"/>
          <w:color w:val="auto"/>
          <w:sz w:val="32"/>
          <w:szCs w:val="32"/>
          <w:lang w:eastAsia="zh-CN"/>
        </w:rPr>
        <w:t>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公务用车</w:t>
      </w:r>
      <w:r>
        <w:rPr>
          <w:rFonts w:hint="default" w:ascii="Times New Roman" w:hAnsi="Times New Roman" w:eastAsia="方正仿宋_GBK" w:cs="Times New Roman"/>
          <w:color w:val="auto"/>
          <w:sz w:val="32"/>
          <w:szCs w:val="32"/>
          <w:highlight w:val="none"/>
          <w:lang w:eastAsia="zh-CN"/>
        </w:rPr>
        <w:t>运行维护费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公务接待费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；具体是国内接待费支出决算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元（其中：外事接待费支出决算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国（境）外接待费支出决算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年度一般公共预算财政拨款“三公”经费支出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，支出决算为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中：</w:t>
      </w:r>
      <w:r>
        <w:rPr>
          <w:rFonts w:hint="default" w:ascii="Times New Roman" w:hAnsi="Times New Roman" w:eastAsia="方正仿宋_GBK" w:cs="Times New Roman"/>
          <w:sz w:val="32"/>
          <w:szCs w:val="32"/>
          <w:highlight w:val="none"/>
        </w:rPr>
        <w:t>因公出国（境）费支出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；公务用车购置费支出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；公务用车</w:t>
      </w:r>
      <w:r>
        <w:rPr>
          <w:rFonts w:hint="default" w:ascii="Times New Roman" w:hAnsi="Times New Roman" w:eastAsia="方正仿宋_GBK" w:cs="Times New Roman"/>
          <w:sz w:val="32"/>
          <w:szCs w:val="32"/>
          <w:highlight w:val="none"/>
          <w:lang w:eastAsia="zh-CN"/>
        </w:rPr>
        <w:t>运行维护费</w:t>
      </w:r>
      <w:r>
        <w:rPr>
          <w:rFonts w:hint="default" w:ascii="Times New Roman" w:hAnsi="Times New Roman" w:eastAsia="方正仿宋_GBK" w:cs="Times New Roman"/>
          <w:sz w:val="32"/>
          <w:szCs w:val="32"/>
          <w:highlight w:val="none"/>
        </w:rPr>
        <w:t>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；公务接待费支出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中：</w:t>
      </w:r>
      <w:r>
        <w:rPr>
          <w:rFonts w:hint="default" w:ascii="Times New Roman" w:hAnsi="Times New Roman" w:eastAsia="方正仿宋_GBK" w:cs="Times New Roman"/>
          <w:sz w:val="32"/>
          <w:szCs w:val="32"/>
          <w:highlight w:val="none"/>
        </w:rPr>
        <w:t>因公出国（境）</w:t>
      </w:r>
      <w:r>
        <w:rPr>
          <w:rFonts w:hint="default" w:ascii="Times New Roman" w:hAnsi="Times New Roman" w:eastAsia="方正仿宋_GBK" w:cs="Times New Roman"/>
          <w:color w:val="auto"/>
          <w:sz w:val="32"/>
          <w:szCs w:val="32"/>
          <w:highlight w:val="none"/>
        </w:rPr>
        <w:t>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；公务用车购置费支出决算增加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；公务用车</w:t>
      </w:r>
      <w:r>
        <w:rPr>
          <w:rFonts w:hint="default" w:ascii="Times New Roman" w:hAnsi="Times New Roman" w:eastAsia="方正仿宋_GBK" w:cs="Times New Roman"/>
          <w:color w:val="auto"/>
          <w:sz w:val="32"/>
          <w:szCs w:val="32"/>
          <w:highlight w:val="none"/>
          <w:lang w:eastAsia="zh-CN"/>
        </w:rPr>
        <w:t>运行维护费</w:t>
      </w:r>
      <w:r>
        <w:rPr>
          <w:rFonts w:hint="default" w:ascii="Times New Roman" w:hAnsi="Times New Roman" w:eastAsia="方正仿宋_GBK" w:cs="Times New Roman"/>
          <w:color w:val="auto"/>
          <w:sz w:val="32"/>
          <w:szCs w:val="32"/>
          <w:highlight w:val="none"/>
        </w:rPr>
        <w:t>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；公务接待费支出决算增加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具体是国内接待费支出决算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元（其中：外事接待费支出决算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kern w:val="0"/>
          <w:sz w:val="32"/>
          <w:szCs w:val="32"/>
          <w:highlight w:val="none"/>
          <w:lang w:val="en-US" w:eastAsia="zh-CN"/>
        </w:rPr>
        <w:t>0.00元，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国（境）外接待费支出决算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kern w:val="0"/>
          <w:sz w:val="32"/>
          <w:szCs w:val="32"/>
          <w:highlight w:val="none"/>
          <w:lang w:val="en-US" w:eastAsia="zh-CN"/>
        </w:rPr>
        <w:t>0.00元，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实物量的</w:t>
      </w:r>
      <w:r>
        <w:rPr>
          <w:rFonts w:hint="default" w:ascii="Times New Roman" w:hAnsi="Times New Roman" w:eastAsia="方正仿宋_GBK" w:cs="Times New Roman"/>
          <w:sz w:val="32"/>
          <w:szCs w:val="32"/>
          <w:highlight w:val="none"/>
        </w:rPr>
        <w:t>具体情况</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rPr>
        <w:t>1.安排因公出国（境）团组</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个，累计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人次。</w:t>
      </w:r>
      <w:r>
        <w:rPr>
          <w:rFonts w:hint="default" w:ascii="Times New Roman" w:hAnsi="Times New Roman" w:eastAsia="方正仿宋_GBK" w:cs="Times New Roman"/>
          <w:color w:val="auto"/>
          <w:sz w:val="32"/>
          <w:szCs w:val="32"/>
        </w:rPr>
        <w:t>本单位无此项支出</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2.购置车辆</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辆。开支一般公共预算财政拨款的公务用车保有量为</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辆。</w:t>
      </w:r>
      <w:r>
        <w:rPr>
          <w:rFonts w:hint="default" w:ascii="Times New Roman" w:hAnsi="Times New Roman" w:eastAsia="方正仿宋_GBK" w:cs="Times New Roman"/>
          <w:color w:val="auto"/>
          <w:sz w:val="32"/>
          <w:szCs w:val="32"/>
        </w:rPr>
        <w:t>本单位无此项支出</w:t>
      </w:r>
      <w:r>
        <w:rPr>
          <w:rFonts w:hint="default" w:ascii="Times New Roman" w:hAnsi="Times New Roman" w:eastAsia="方正仿宋_GBK" w:cs="Times New Roman"/>
          <w:b w:val="0"/>
          <w:bCs/>
          <w:sz w:val="32"/>
          <w:szCs w:val="32"/>
          <w:highlight w:val="none"/>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bCs/>
          <w:sz w:val="32"/>
          <w:szCs w:val="32"/>
          <w:highlight w:val="none"/>
        </w:rPr>
        <w:t>3.安排</w:t>
      </w:r>
      <w:r>
        <w:rPr>
          <w:rFonts w:hint="default" w:ascii="Times New Roman" w:hAnsi="Times New Roman" w:eastAsia="方正仿宋_GBK" w:cs="Times New Roman"/>
          <w:sz w:val="32"/>
          <w:szCs w:val="32"/>
          <w:highlight w:val="none"/>
        </w:rPr>
        <w:t>国内公务接待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批次（其中：外事接待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人（其中：外事接待人次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人）。安排国（境）外公务接待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w:t>
      </w:r>
      <w:r>
        <w:rPr>
          <w:rFonts w:hint="default" w:ascii="Times New Roman" w:hAnsi="Times New Roman" w:eastAsia="方正仿宋_GBK" w:cs="Times New Roman"/>
          <w:color w:val="auto"/>
          <w:sz w:val="32"/>
          <w:szCs w:val="32"/>
        </w:rPr>
        <w:t>本单位无此项支出</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不存在需要说明的事项。</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第四部分  其他重要事项及相关口径情况说明</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eastAsia="zh-CN"/>
        </w:rPr>
        <w:t>、</w:t>
      </w:r>
      <w:r>
        <w:rPr>
          <w:rFonts w:hint="eastAsia" w:ascii="方正黑体_GBK" w:hAnsi="方正黑体_GBK" w:eastAsia="方正黑体_GBK" w:cs="方正黑体_GBK"/>
          <w:sz w:val="32"/>
          <w:szCs w:val="32"/>
          <w:highlight w:val="none"/>
        </w:rPr>
        <w:t>机关运行经费支出情况</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lang w:val="zh-CN"/>
        </w:rPr>
        <w:t>峨山彝族自治县塔甸中心小学校</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年机关运行经费支出</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比上年</w:t>
      </w:r>
      <w:r>
        <w:rPr>
          <w:rFonts w:hint="default" w:ascii="Times New Roman" w:hAnsi="Times New Roman" w:eastAsia="方正仿宋_GBK" w:cs="Times New Roman"/>
          <w:sz w:val="32"/>
          <w:szCs w:val="32"/>
          <w:highlight w:val="none"/>
        </w:rPr>
        <w:t>增加</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overflowPunct/>
        <w:topLinePunct w:val="0"/>
        <w:autoSpaceDE/>
        <w:autoSpaceDN/>
        <w:bidi w:val="0"/>
        <w:adjustRightInd/>
        <w:spacing w:line="590" w:lineRule="exact"/>
        <w:ind w:firstLine="640" w:firstLineChars="200"/>
        <w:textAlignment w:val="auto"/>
        <w:outlineLvl w:val="1"/>
        <w:rPr>
          <w:rFonts w:hint="eastAsia" w:ascii="方正黑体_GBK" w:hAnsi="方正黑体_GBK" w:eastAsia="方正黑体_GBK" w:cs="方正黑体_GBK"/>
          <w:color w:val="000000"/>
          <w:kern w:val="0"/>
          <w:sz w:val="32"/>
          <w:szCs w:val="32"/>
          <w:highlight w:val="none"/>
        </w:rPr>
      </w:pPr>
      <w:r>
        <w:rPr>
          <w:rFonts w:hint="eastAsia" w:ascii="方正黑体_GBK" w:hAnsi="方正黑体_GBK" w:eastAsia="方正黑体_GBK" w:cs="方正黑体_GBK"/>
          <w:color w:val="000000"/>
          <w:kern w:val="0"/>
          <w:sz w:val="32"/>
          <w:szCs w:val="32"/>
          <w:highlight w:val="none"/>
          <w:lang w:eastAsia="zh-CN"/>
        </w:rPr>
        <w:t>二、</w:t>
      </w:r>
      <w:r>
        <w:rPr>
          <w:rFonts w:hint="eastAsia" w:ascii="方正黑体_GBK" w:hAnsi="方正黑体_GBK" w:eastAsia="方正黑体_GBK" w:cs="方正黑体_GBK"/>
          <w:color w:val="000000"/>
          <w:kern w:val="0"/>
          <w:sz w:val="32"/>
          <w:szCs w:val="32"/>
          <w:highlight w:val="none"/>
        </w:rPr>
        <w:t>国有资产占用情况</w:t>
      </w:r>
    </w:p>
    <w:p>
      <w:pPr>
        <w:keepNext w:val="0"/>
        <w:keepLines w:val="0"/>
        <w:pageBreakBefore w:val="0"/>
        <w:widowControl/>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sz w:val="32"/>
          <w:szCs w:val="32"/>
          <w:highlight w:val="none"/>
          <w:lang w:eastAsia="zh-CN"/>
        </w:rPr>
        <w:t>截至2024年末，</w:t>
      </w:r>
      <w:r>
        <w:rPr>
          <w:rFonts w:hint="default" w:ascii="Times New Roman" w:hAnsi="Times New Roman" w:eastAsia="方正仿宋_GBK" w:cs="Times New Roman"/>
          <w:color w:val="auto"/>
          <w:sz w:val="32"/>
          <w:szCs w:val="32"/>
          <w:lang w:val="zh-CN"/>
        </w:rPr>
        <w:t>峨山彝族自治县塔甸中心小学校</w:t>
      </w:r>
      <w:r>
        <w:rPr>
          <w:rFonts w:hint="default" w:ascii="Times New Roman" w:hAnsi="Times New Roman" w:eastAsia="方正仿宋_GBK" w:cs="Times New Roman"/>
          <w:sz w:val="32"/>
          <w:szCs w:val="32"/>
          <w:highlight w:val="none"/>
          <w:lang w:eastAsia="zh-CN"/>
        </w:rPr>
        <w:t>资产总额</w:t>
      </w:r>
      <w:r>
        <w:rPr>
          <w:rFonts w:hint="default" w:ascii="Times New Roman" w:hAnsi="Times New Roman" w:eastAsia="方正仿宋_GBK" w:cs="Times New Roman"/>
          <w:sz w:val="32"/>
          <w:szCs w:val="32"/>
          <w:highlight w:val="none"/>
          <w:lang w:val="en-US" w:eastAsia="zh-CN"/>
        </w:rPr>
        <w:t>24,847,502.05</w:t>
      </w:r>
      <w:r>
        <w:rPr>
          <w:rFonts w:hint="default" w:ascii="Times New Roman" w:hAnsi="Times New Roman" w:eastAsia="方正仿宋_GBK" w:cs="Times New Roman"/>
          <w:sz w:val="32"/>
          <w:szCs w:val="32"/>
          <w:highlight w:val="none"/>
          <w:lang w:eastAsia="zh-CN"/>
        </w:rPr>
        <w:t>元，其中，流动资产299</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163.23元，固定资产</w:t>
      </w:r>
      <w:r>
        <w:rPr>
          <w:rFonts w:hint="default" w:ascii="Times New Roman" w:hAnsi="Times New Roman" w:eastAsia="方正仿宋_GBK" w:cs="Times New Roman"/>
          <w:sz w:val="32"/>
          <w:szCs w:val="32"/>
          <w:highlight w:val="none"/>
          <w:lang w:val="en-US" w:eastAsia="zh-CN"/>
        </w:rPr>
        <w:t>24,548,338.82</w:t>
      </w:r>
      <w:r>
        <w:rPr>
          <w:rFonts w:hint="default" w:ascii="Times New Roman" w:hAnsi="Times New Roman" w:eastAsia="方正仿宋_GBK" w:cs="Times New Roman"/>
          <w:sz w:val="32"/>
          <w:szCs w:val="32"/>
          <w:highlight w:val="none"/>
          <w:lang w:eastAsia="zh-CN"/>
        </w:rPr>
        <w:t>元（净值），对外投资及有价证券</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元，在建工程</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元，无形资产</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元（净值），其他资产</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元（净值）（具体内容详见附表）</w:t>
      </w:r>
      <w:r>
        <w:rPr>
          <w:rFonts w:hint="default" w:ascii="Times New Roman" w:hAnsi="Times New Roman" w:eastAsia="方正仿宋_GBK" w:cs="Times New Roman"/>
          <w:color w:val="000000"/>
          <w:kern w:val="0"/>
          <w:sz w:val="32"/>
          <w:szCs w:val="32"/>
          <w:highlight w:val="none"/>
        </w:rPr>
        <w:t>。与上年相比，本年资产总额减少</w:t>
      </w:r>
      <w:r>
        <w:rPr>
          <w:rFonts w:hint="default" w:ascii="Times New Roman" w:hAnsi="Times New Roman" w:eastAsia="方正仿宋_GBK" w:cs="Times New Roman"/>
          <w:color w:val="000000"/>
          <w:kern w:val="0"/>
          <w:sz w:val="32"/>
          <w:szCs w:val="32"/>
          <w:highlight w:val="none"/>
          <w:lang w:val="en-US" w:eastAsia="zh-CN"/>
        </w:rPr>
        <w:t>732,371.22</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，其中固定资产减少</w:t>
      </w:r>
      <w:r>
        <w:rPr>
          <w:rFonts w:hint="default" w:ascii="Times New Roman" w:hAnsi="Times New Roman" w:eastAsia="方正仿宋_GBK" w:cs="Times New Roman"/>
          <w:color w:val="000000"/>
          <w:kern w:val="0"/>
          <w:sz w:val="32"/>
          <w:szCs w:val="32"/>
          <w:highlight w:val="none"/>
          <w:lang w:val="en-US" w:eastAsia="zh-CN"/>
        </w:rPr>
        <w:t>876,451.68</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。处置房屋建筑物</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；处置车辆</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辆，账面原值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；报废报损资产</w:t>
      </w:r>
      <w:r>
        <w:rPr>
          <w:rFonts w:hint="default" w:ascii="Times New Roman" w:hAnsi="Times New Roman" w:eastAsia="方正仿宋_GBK" w:cs="Times New Roman"/>
          <w:color w:val="000000"/>
          <w:kern w:val="0"/>
          <w:sz w:val="32"/>
          <w:szCs w:val="32"/>
          <w:highlight w:val="none"/>
          <w:lang w:val="en-US" w:eastAsia="zh-CN"/>
        </w:rPr>
        <w:t>1,676</w:t>
      </w:r>
      <w:r>
        <w:rPr>
          <w:rFonts w:hint="default" w:ascii="Times New Roman" w:hAnsi="Times New Roman" w:eastAsia="方正仿宋_GBK" w:cs="Times New Roman"/>
          <w:color w:val="000000"/>
          <w:kern w:val="0"/>
          <w:sz w:val="32"/>
          <w:szCs w:val="32"/>
          <w:highlight w:val="none"/>
        </w:rPr>
        <w:t>项，账面原值</w:t>
      </w:r>
      <w:r>
        <w:rPr>
          <w:rFonts w:hint="default" w:ascii="Times New Roman" w:hAnsi="Times New Roman" w:eastAsia="方正仿宋_GBK" w:cs="Times New Roman"/>
          <w:color w:val="000000"/>
          <w:kern w:val="0"/>
          <w:sz w:val="32"/>
          <w:szCs w:val="32"/>
          <w:highlight w:val="none"/>
          <w:lang w:val="en-US" w:eastAsia="zh-CN"/>
        </w:rPr>
        <w:t>134,740.00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，实现资产处置收入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；出租房屋</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，实现资产使用收入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w:t>
      </w:r>
    </w:p>
    <w:p>
      <w:pPr>
        <w:keepNext w:val="0"/>
        <w:keepLines w:val="0"/>
        <w:pageBreakBefore w:val="0"/>
        <w:widowControl/>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color w:val="000000"/>
          <w:kern w:val="0"/>
          <w:sz w:val="32"/>
          <w:szCs w:val="32"/>
          <w:highlight w:val="none"/>
          <w:lang w:eastAsia="zh-CN"/>
        </w:rPr>
      </w:pPr>
      <w:r>
        <w:rPr>
          <w:rFonts w:hint="eastAsia" w:ascii="方正仿宋_GBK" w:hAnsi="方正仿宋_GBK" w:eastAsia="方正仿宋_GBK" w:cs="方正仿宋_GBK"/>
          <w:color w:val="000000"/>
          <w:kern w:val="0"/>
          <w:sz w:val="32"/>
          <w:szCs w:val="32"/>
          <w:highlight w:val="none"/>
          <w:lang w:eastAsia="zh-CN"/>
        </w:rPr>
        <w:t>（</w:t>
      </w:r>
      <w:r>
        <w:rPr>
          <w:rFonts w:hint="eastAsia" w:ascii="方正仿宋_GBK" w:hAnsi="方正仿宋_GBK" w:eastAsia="方正仿宋_GBK" w:cs="方正仿宋_GBK"/>
          <w:color w:val="000000"/>
          <w:kern w:val="0"/>
          <w:sz w:val="32"/>
          <w:szCs w:val="32"/>
          <w:highlight w:val="none"/>
        </w:rPr>
        <w:t>国有资产占有使用情况表</w:t>
      </w:r>
      <w:r>
        <w:rPr>
          <w:rFonts w:hint="eastAsia" w:ascii="方正仿宋_GBK" w:hAnsi="方正仿宋_GBK" w:eastAsia="方正仿宋_GBK" w:cs="方正仿宋_GBK"/>
          <w:color w:val="000000"/>
          <w:kern w:val="0"/>
          <w:sz w:val="32"/>
          <w:szCs w:val="32"/>
          <w:highlight w:val="none"/>
          <w:lang w:eastAsia="zh-CN"/>
        </w:rPr>
        <w:t>详见附表）</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三、政</w:t>
      </w:r>
      <w:r>
        <w:rPr>
          <w:rFonts w:hint="eastAsia" w:ascii="方正黑体_GBK" w:hAnsi="方正黑体_GBK" w:eastAsia="方正黑体_GBK" w:cs="方正黑体_GBK"/>
          <w:sz w:val="32"/>
          <w:szCs w:val="32"/>
          <w:highlight w:val="none"/>
        </w:rPr>
        <w:t>府采购支出情况</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2024年度，单位政府采购支出总额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元，其中：政府采购货物支出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元；政府采购工程支出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元；政府采购服务支出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元。授予中小企业合同金额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元，其中：授予小微企业合同金额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四、单位绩效自评情况</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单位绩效自评情况详见附表。</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五、其他重要事项情况说明</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rPr>
          <w:rFonts w:hint="eastAsia" w:ascii="方正仿宋_GBK" w:hAnsi="方正仿宋_GBK" w:eastAsia="方正仿宋_GBK" w:cs="方正仿宋_GBK"/>
          <w:color w:val="FF0000"/>
          <w:sz w:val="32"/>
          <w:szCs w:val="32"/>
          <w:highlight w:val="none"/>
          <w:lang w:eastAsia="zh-CN"/>
        </w:rPr>
      </w:pPr>
      <w:r>
        <w:rPr>
          <w:rFonts w:hint="eastAsia" w:ascii="方正仿宋_GBK" w:hAnsi="方正仿宋_GBK" w:eastAsia="方正仿宋_GBK" w:cs="方正仿宋_GBK"/>
          <w:color w:val="auto"/>
          <w:sz w:val="32"/>
          <w:szCs w:val="32"/>
        </w:rPr>
        <w:t>峨山彝族自治县塔甸中心小学无其他重要事项情况</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六、相关口径说明</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基本支出中人员经费包括工资福利支出和对个人和家庭的补助，公用</w:t>
      </w:r>
      <w:r>
        <w:rPr>
          <w:rFonts w:hint="eastAsia" w:ascii="方正楷体_GBK" w:hAnsi="方正楷体_GBK" w:eastAsia="方正楷体_GBK" w:cs="方正楷体_GBK"/>
          <w:sz w:val="32"/>
          <w:szCs w:val="32"/>
          <w:highlight w:val="none"/>
          <w:lang w:eastAsia="zh-CN"/>
        </w:rPr>
        <w:t>经费</w:t>
      </w:r>
      <w:r>
        <w:rPr>
          <w:rFonts w:hint="eastAsia" w:ascii="方正楷体_GBK" w:hAnsi="方正楷体_GBK" w:eastAsia="方正楷体_GBK" w:cs="方正楷体_GBK"/>
          <w:sz w:val="32"/>
          <w:szCs w:val="32"/>
          <w:highlight w:val="none"/>
        </w:rPr>
        <w:t>包括商品和服务支出、资本性支出等人员经费以外的支出。</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机关运行经费指行政单位和参照公务员法管理的事业单位使用一般公共预算财政拨款安排的基本支出中的公用经费支出</w:t>
      </w:r>
      <w:r>
        <w:rPr>
          <w:rFonts w:hint="eastAsia" w:ascii="方正楷体_GBK" w:hAnsi="方正楷体_GBK" w:eastAsia="方正楷体_GBK" w:cs="方正楷体_GBK"/>
          <w:sz w:val="32"/>
          <w:szCs w:val="32"/>
          <w:highlight w:val="none"/>
          <w:lang w:eastAsia="zh-CN"/>
        </w:rPr>
        <w:t>。</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方正楷体_GBK" w:hAnsi="方正楷体_GBK" w:eastAsia="方正楷体_GBK" w:cs="方正楷体_GBK"/>
          <w:sz w:val="32"/>
          <w:szCs w:val="32"/>
          <w:highlight w:val="none"/>
          <w:lang w:eastAsia="zh-CN"/>
        </w:rPr>
        <w:t>、牌照费</w:t>
      </w:r>
      <w:r>
        <w:rPr>
          <w:rFonts w:hint="eastAsia" w:ascii="方正楷体_GBK" w:hAnsi="方正楷体_GBK" w:eastAsia="方正楷体_GBK" w:cs="方正楷体_GBK"/>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方正楷体_GBK" w:hAnsi="方正楷体_GBK" w:eastAsia="方正楷体_GBK" w:cs="方正楷体_GBK"/>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（四）本文所称财政拨款</w:t>
      </w:r>
      <w:r>
        <w:rPr>
          <w:rFonts w:hint="eastAsia" w:ascii="方正楷体_GBK" w:hAnsi="方正楷体_GBK" w:eastAsia="方正楷体_GBK" w:cs="方正楷体_GBK"/>
          <w:sz w:val="32"/>
          <w:szCs w:val="32"/>
          <w:highlight w:val="none"/>
        </w:rPr>
        <w:t>“三公”经费决算数</w:t>
      </w:r>
      <w:r>
        <w:rPr>
          <w:rFonts w:hint="eastAsia" w:ascii="方正楷体_GBK" w:hAnsi="方正楷体_GBK" w:eastAsia="方正楷体_GBK" w:cs="方正楷体_GBK"/>
          <w:sz w:val="32"/>
          <w:szCs w:val="32"/>
          <w:highlight w:val="none"/>
          <w:lang w:eastAsia="zh-CN"/>
        </w:rPr>
        <w:t>是</w:t>
      </w:r>
      <w:r>
        <w:rPr>
          <w:rFonts w:hint="eastAsia" w:ascii="方正楷体_GBK" w:hAnsi="方正楷体_GBK" w:eastAsia="方正楷体_GBK" w:cs="方正楷体_GBK"/>
          <w:sz w:val="32"/>
          <w:szCs w:val="32"/>
          <w:highlight w:val="none"/>
        </w:rPr>
        <w:t>指各部门（含下属单位）</w:t>
      </w:r>
      <w:r>
        <w:rPr>
          <w:rFonts w:hint="eastAsia" w:ascii="方正楷体_GBK" w:hAnsi="方正楷体_GBK" w:eastAsia="方正楷体_GBK" w:cs="方正楷体_GBK"/>
          <w:sz w:val="32"/>
          <w:szCs w:val="32"/>
          <w:highlight w:val="none"/>
          <w:lang w:eastAsia="zh-CN"/>
        </w:rPr>
        <w:t>或单位</w:t>
      </w:r>
      <w:r>
        <w:rPr>
          <w:rFonts w:hint="eastAsia" w:ascii="方正楷体_GBK" w:hAnsi="方正楷体_GBK" w:eastAsia="方正楷体_GBK" w:cs="方正楷体_GBK"/>
          <w:sz w:val="32"/>
          <w:szCs w:val="32"/>
          <w:highlight w:val="none"/>
        </w:rPr>
        <w:t>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wordWrap/>
        <w:overflowPunct/>
        <w:topLinePunct w:val="0"/>
        <w:autoSpaceDE/>
        <w:autoSpaceDN/>
        <w:bidi w:val="0"/>
        <w:adjustRightInd/>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keepNext w:val="0"/>
        <w:keepLines w:val="0"/>
        <w:pageBreakBefore w:val="0"/>
        <w:kinsoku/>
        <w:wordWrap/>
        <w:overflowPunct/>
        <w:topLinePunct w:val="0"/>
        <w:autoSpaceDE/>
        <w:autoSpaceDN/>
        <w:bidi w:val="0"/>
        <w:adjustRightInd/>
        <w:spacing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rPr>
          <w:rFonts w:ascii="Arial" w:hAnsi="Arial" w:eastAsia="Arial" w:cs="Arial"/>
          <w:b/>
          <w:sz w:val="36"/>
        </w:rPr>
      </w:pPr>
      <w:r>
        <w:rPr>
          <w:rFonts w:ascii="Arial" w:hAnsi="Arial" w:eastAsia="Arial" w:cs="Arial"/>
          <w:b/>
          <w:sz w:val="36"/>
        </w:rPr>
        <w:t>监督索引号53042600136000901111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82569"/>
    <w:rsid w:val="00F5083F"/>
    <w:rsid w:val="01707E4D"/>
    <w:rsid w:val="01A10387"/>
    <w:rsid w:val="02CD3CC1"/>
    <w:rsid w:val="08F34115"/>
    <w:rsid w:val="0942717E"/>
    <w:rsid w:val="0B440899"/>
    <w:rsid w:val="15B72235"/>
    <w:rsid w:val="19B067BC"/>
    <w:rsid w:val="1A2A4786"/>
    <w:rsid w:val="1A652887"/>
    <w:rsid w:val="1C317C66"/>
    <w:rsid w:val="228C4793"/>
    <w:rsid w:val="230E7558"/>
    <w:rsid w:val="272B466D"/>
    <w:rsid w:val="2A5D1431"/>
    <w:rsid w:val="2BE879B1"/>
    <w:rsid w:val="2C071743"/>
    <w:rsid w:val="2E364473"/>
    <w:rsid w:val="307908F3"/>
    <w:rsid w:val="35764B91"/>
    <w:rsid w:val="396E183B"/>
    <w:rsid w:val="3AC851FC"/>
    <w:rsid w:val="3B815B8A"/>
    <w:rsid w:val="3FBB6674"/>
    <w:rsid w:val="40052EAB"/>
    <w:rsid w:val="40083317"/>
    <w:rsid w:val="439C2A41"/>
    <w:rsid w:val="43D46D0F"/>
    <w:rsid w:val="452B604A"/>
    <w:rsid w:val="4BF10E2F"/>
    <w:rsid w:val="50FA6B29"/>
    <w:rsid w:val="51837120"/>
    <w:rsid w:val="528D62B1"/>
    <w:rsid w:val="55F45D89"/>
    <w:rsid w:val="560C1580"/>
    <w:rsid w:val="56A90E2F"/>
    <w:rsid w:val="574C4547"/>
    <w:rsid w:val="57DB7503"/>
    <w:rsid w:val="58411EBB"/>
    <w:rsid w:val="59C44705"/>
    <w:rsid w:val="5AA94C7A"/>
    <w:rsid w:val="602231AB"/>
    <w:rsid w:val="62E94FF3"/>
    <w:rsid w:val="638D62F6"/>
    <w:rsid w:val="65E36879"/>
    <w:rsid w:val="67021596"/>
    <w:rsid w:val="68376577"/>
    <w:rsid w:val="68541B0D"/>
    <w:rsid w:val="6893299A"/>
    <w:rsid w:val="6ADA5987"/>
    <w:rsid w:val="6B3B1A2E"/>
    <w:rsid w:val="700F0311"/>
    <w:rsid w:val="75CB0021"/>
    <w:rsid w:val="79927E6B"/>
    <w:rsid w:val="7C2924EE"/>
    <w:rsid w:val="7F3D4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paragraph" w:customStyle="1" w:styleId="9">
    <w:name w:val="p_MsoNormal"/>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eb78a-dfc1-481c-9cf3-9ba3bb03a30c}">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15</Pages>
  <Words>5830</Words>
  <Characters>6673</Characters>
  <Lines>0</Lines>
  <Paragraphs>0</Paragraphs>
  <TotalTime>48</TotalTime>
  <ScaleCrop>false</ScaleCrop>
  <LinksUpToDate>false</LinksUpToDate>
  <CharactersWithSpaces>6694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2025-09-23T07:05:54Z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93BAA70C26AC4E2CA09DC21BA6C036F9_12</vt:lpwstr>
  </property>
  <property fmtid="{D5CDD505-2E9C-101B-9397-08002B2CF9AE}" pid="3" name="KSOProductBuildVer">
    <vt:lpwstr>2052-11.8.2.12089</vt:lpwstr>
  </property>
  <property fmtid="{D5CDD505-2E9C-101B-9397-08002B2CF9AE}" pid="4" name="KSOTemplateDocerSaveRecord">
    <vt:lpwstr>eyJoZGlkIjoiZTdlZGJjMzA0MjQwMzg5MzY5MWVlOTNkMTQyYWE5MzUiLCJ1c2VySWQiOiI1MzI0MDAzOTkifQ==</vt:lpwstr>
  </property>
</Properties>
</file>