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监督索引号53042600136001801000</w:t>
      </w:r>
    </w:p>
    <w:p>
      <w:pPr>
        <w:jc w:val="center"/>
        <w:outlineLvl w:val="0"/>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lang w:val="zh-CN"/>
        </w:rPr>
        <w:t>峨山彝族自治县塔甸中学</w:t>
      </w:r>
      <w:r>
        <w:rPr>
          <w:rFonts w:hint="eastAsia" w:ascii="方正小标宋_GBK" w:hAnsi="方正小标宋_GBK" w:eastAsia="方正小标宋_GBK" w:cs="方正小标宋_GBK"/>
          <w:sz w:val="44"/>
          <w:szCs w:val="44"/>
          <w:highlight w:val="none"/>
          <w:lang w:val="en-US" w:eastAsia="zh-CN"/>
        </w:rPr>
        <w:t>2024</w:t>
      </w:r>
      <w:r>
        <w:rPr>
          <w:rFonts w:hint="eastAsia" w:ascii="方正小标宋_GBK" w:hAnsi="方正小标宋_GBK" w:eastAsia="方正小标宋_GBK" w:cs="方正小标宋_GBK"/>
          <w:sz w:val="44"/>
          <w:szCs w:val="44"/>
          <w:highlight w:val="none"/>
        </w:rPr>
        <w:t>年度部门决算</w:t>
      </w:r>
    </w:p>
    <w:p>
      <w:pPr>
        <w:jc w:val="center"/>
        <w:outlineLvl w:val="0"/>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目录</w:t>
      </w:r>
    </w:p>
    <w:p>
      <w:pPr>
        <w:jc w:val="left"/>
        <w:rPr>
          <w:rFonts w:hint="eastAsia" w:ascii="黑体" w:hAnsi="黑体" w:eastAsia="黑体"/>
          <w:sz w:val="30"/>
          <w:szCs w:val="30"/>
          <w:highlight w:val="none"/>
        </w:rPr>
      </w:pP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keepNext w:val="0"/>
        <w:keepLines w:val="0"/>
        <w:pageBreakBefore w:val="0"/>
        <w:widowControl w:val="0"/>
        <w:kinsoku/>
        <w:wordWrap/>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一、主要</w:t>
      </w:r>
      <w:r>
        <w:rPr>
          <w:rFonts w:hint="eastAsia" w:ascii="方正黑体_GBK" w:hAnsi="方正黑体_GBK" w:eastAsia="方正黑体_GBK" w:cs="方正黑体_GBK"/>
          <w:sz w:val="32"/>
          <w:szCs w:val="32"/>
          <w:highlight w:val="none"/>
          <w:lang w:eastAsia="zh-CN"/>
        </w:rPr>
        <w:t>职责</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672" w:firstLineChars="21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sz w:val="32"/>
          <w:szCs w:val="32"/>
        </w:rPr>
        <w:t>负责贯彻执行党的教育路线方针政策，执行上级教育部门的各种工作指导。负责实施义务教育（中学阶段）的教育教学工作及学前教育的教学工作。负责制定和实施学校发展规划和学年工作计划。负责组织和领导教职工和学生的思想政治教育工作，充分发挥党支部、工会、妇女、共青团、少先队、班主任等组织的作用。负责组织和领导学校的各项教育教学工作及安全工作</w:t>
      </w:r>
      <w:r>
        <w:rPr>
          <w:rFonts w:hint="eastAsia" w:ascii="方正仿宋_GBK" w:hAnsi="方正仿宋_GBK" w:eastAsia="方正仿宋_GBK" w:cs="方正仿宋_GBK"/>
          <w:bCs/>
          <w:sz w:val="32"/>
          <w:szCs w:val="32"/>
          <w:highlight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二、基本情况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（一）机构设置情况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zh-CN"/>
        </w:rPr>
        <w:t>峨山彝族自治县塔甸中学</w:t>
      </w:r>
      <w:r>
        <w:rPr>
          <w:rFonts w:hint="default" w:ascii="Times New Roman" w:hAnsi="Times New Roman" w:eastAsia="方正仿宋_GBK" w:cs="Times New Roman"/>
          <w:sz w:val="32"/>
          <w:szCs w:val="32"/>
        </w:rPr>
        <w:t>共设置6个内设机构，包括：办公室、德育处、安全处、教导处、总务处、学生资助管理中心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我单位为基层预算单位，无下属单位。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决算单位构成</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zh-CN"/>
        </w:rPr>
        <w:t>峨山彝族自治县塔甸中学</w:t>
      </w:r>
      <w:r>
        <w:rPr>
          <w:rFonts w:hint="default" w:ascii="Times New Roman" w:hAnsi="Times New Roman" w:eastAsia="方正仿宋_GBK" w:cs="Times New Roman"/>
          <w:sz w:val="32"/>
          <w:szCs w:val="32"/>
          <w:highlight w:val="none"/>
          <w:lang w:eastAsia="zh-CN"/>
        </w:rPr>
        <w:t>作为</w:t>
      </w:r>
      <w:r>
        <w:rPr>
          <w:rFonts w:hint="default" w:ascii="Times New Roman" w:hAnsi="Times New Roman" w:eastAsia="方正仿宋_GBK" w:cs="Times New Roman"/>
          <w:sz w:val="32"/>
          <w:szCs w:val="32"/>
        </w:rPr>
        <w:t>峨山彝族自治县教育体育局</w:t>
      </w:r>
      <w:r>
        <w:rPr>
          <w:rFonts w:hint="default"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eastAsia="zh-CN"/>
        </w:rPr>
        <w:t>二级预算单位</w:t>
      </w:r>
      <w:r>
        <w:rPr>
          <w:rFonts w:hint="default" w:ascii="Times New Roman" w:hAnsi="Times New Roman" w:eastAsia="方正仿宋_GBK" w:cs="Times New Roman"/>
          <w:sz w:val="32"/>
          <w:szCs w:val="32"/>
          <w:highlight w:val="none"/>
        </w:rPr>
        <w:t>纳入</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年度部门决算编报</w:t>
      </w:r>
      <w:r>
        <w:rPr>
          <w:rFonts w:hint="default" w:ascii="Times New Roman" w:hAnsi="Times New Roman"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三</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单位</w:t>
      </w:r>
      <w:r>
        <w:rPr>
          <w:rFonts w:hint="eastAsia" w:ascii="方正楷体_GBK" w:hAnsi="方正楷体_GBK" w:eastAsia="方正楷体_GBK" w:cs="方正楷体_GBK"/>
          <w:color w:val="auto"/>
          <w:sz w:val="32"/>
          <w:szCs w:val="32"/>
          <w:highlight w:val="none"/>
        </w:rPr>
        <w:t xml:space="preserve">人员和车辆的编制及实有情况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lang w:val="zh-CN"/>
        </w:rPr>
        <w:t>峨山彝族自治县塔甸中学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编制内</w:t>
      </w:r>
      <w:r>
        <w:rPr>
          <w:rFonts w:hint="default" w:ascii="Times New Roman" w:hAnsi="Times New Roman" w:eastAsia="方正仿宋_GBK" w:cs="Times New Roman"/>
          <w:sz w:val="32"/>
          <w:szCs w:val="32"/>
          <w:highlight w:val="none"/>
        </w:rPr>
        <w:t>实有人员</w:t>
      </w:r>
      <w:r>
        <w:rPr>
          <w:rFonts w:hint="default" w:ascii="Times New Roman" w:hAnsi="Times New Roman" w:eastAsia="方正仿宋_GBK" w:cs="Times New Roman"/>
          <w:color w:val="auto"/>
          <w:sz w:val="32"/>
          <w:szCs w:val="32"/>
          <w:lang w:val="en-US" w:eastAsia="zh-CN"/>
        </w:rPr>
        <w:t>42</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b w:val="0"/>
          <w:bCs w:val="0"/>
          <w:kern w:val="0"/>
          <w:sz w:val="32"/>
          <w:szCs w:val="32"/>
          <w:highlight w:val="none"/>
          <w:lang w:eastAsia="zh-CN"/>
        </w:rPr>
        <w:t>包括</w:t>
      </w:r>
      <w:r>
        <w:rPr>
          <w:rFonts w:hint="default" w:ascii="Times New Roman" w:hAnsi="Times New Roman" w:eastAsia="方正仿宋_GBK" w:cs="Times New Roman"/>
          <w:kern w:val="0"/>
          <w:sz w:val="32"/>
          <w:szCs w:val="32"/>
          <w:highlight w:val="none"/>
          <w:lang w:eastAsia="zh-CN"/>
        </w:rPr>
        <w:t>财政拨款开支经费的</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42</w:t>
      </w:r>
      <w:r>
        <w:rPr>
          <w:rFonts w:hint="default" w:ascii="Times New Roman" w:hAnsi="Times New Roman" w:eastAsia="方正仿宋_GBK" w:cs="Times New Roman"/>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FF0000"/>
          <w:kern w:val="0"/>
          <w:sz w:val="32"/>
          <w:szCs w:val="32"/>
          <w:highlight w:val="none"/>
          <w:lang w:val="en-US" w:eastAsia="zh-CN"/>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256</w:t>
      </w:r>
      <w:r>
        <w:rPr>
          <w:rFonts w:hint="default" w:ascii="Times New Roman" w:hAnsi="Times New Roman" w:eastAsia="方正仿宋_GBK" w:cs="Times New Roman"/>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kern w:val="0"/>
          <w:sz w:val="32"/>
          <w:szCs w:val="32"/>
          <w:highlight w:val="none"/>
          <w:lang w:val="en-US" w:eastAsia="zh-CN"/>
        </w:rPr>
        <w:t>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b w:val="0"/>
          <w:bCs w:val="0"/>
          <w:sz w:val="32"/>
          <w:szCs w:val="32"/>
          <w:highlight w:val="none"/>
          <w:u w:val="none"/>
          <w:lang w:val="en-US" w:eastAsia="zh-CN"/>
        </w:rPr>
        <w:t>车辆编制0辆，在编实有车辆0辆，超编0辆。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三、重点工作概述</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1.以“推进规范党支部建设”为契机，强化党建对学校工作的引领。学校党支部根据峨山县委教育党工委的要求，全面学习贯彻</w:t>
      </w:r>
      <w:r>
        <w:rPr>
          <w:rFonts w:hint="default" w:ascii="Times New Roman" w:hAnsi="Times New Roman" w:eastAsia="方正仿宋_GBK" w:cs="Times New Roman"/>
          <w:color w:val="auto"/>
          <w:sz w:val="32"/>
          <w:szCs w:val="32"/>
          <w:lang w:val="zh-CN" w:eastAsia="zh-CN"/>
        </w:rPr>
        <w:t>落实党的二十大</w:t>
      </w:r>
      <w:r>
        <w:rPr>
          <w:rFonts w:hint="default" w:ascii="Times New Roman" w:hAnsi="Times New Roman" w:eastAsia="方正仿宋_GBK" w:cs="Times New Roman"/>
          <w:color w:val="auto"/>
          <w:sz w:val="32"/>
          <w:szCs w:val="32"/>
          <w:lang w:val="zh-CN"/>
        </w:rPr>
        <w:t>精神，</w:t>
      </w:r>
      <w:bookmarkStart w:id="0" w:name="_GoBack"/>
      <w:bookmarkEnd w:id="0"/>
      <w:r>
        <w:rPr>
          <w:rFonts w:hint="default" w:ascii="Times New Roman" w:hAnsi="Times New Roman" w:eastAsia="方正仿宋_GBK" w:cs="Times New Roman"/>
          <w:color w:val="auto"/>
          <w:sz w:val="32"/>
          <w:szCs w:val="32"/>
          <w:lang w:val="zh-CN"/>
        </w:rPr>
        <w:t>把政治思想建设放在首位，抓责任、抓落实，为推动学校持续发展增强动力，提供思想保障。</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eastAsia" w:ascii="方正仿宋_GBK" w:hAnsi="方正仿宋_GBK" w:eastAsia="方正仿宋_GBK" w:cs="方正仿宋_GBK"/>
          <w:color w:val="auto"/>
          <w:sz w:val="32"/>
          <w:szCs w:val="32"/>
          <w:lang w:val="zh-CN"/>
        </w:rPr>
      </w:pPr>
      <w:r>
        <w:rPr>
          <w:rFonts w:hint="default" w:ascii="Times New Roman" w:hAnsi="Times New Roman" w:eastAsia="方正仿宋_GBK" w:cs="Times New Roman"/>
          <w:color w:val="auto"/>
          <w:sz w:val="32"/>
          <w:szCs w:val="32"/>
          <w:lang w:val="zh-CN"/>
        </w:rPr>
        <w:t>2.多渠道践行社会主义核心价值观，扎实有效地推进学校德育工作。学校教育的魂在德育。一学期以来，我们以教师业务提升、学生成长为本，开展丰富多彩的活动。通过活动积极引导广</w:t>
      </w:r>
      <w:r>
        <w:rPr>
          <w:rFonts w:hint="eastAsia" w:ascii="方正仿宋_GBK" w:hAnsi="方正仿宋_GBK" w:eastAsia="方正仿宋_GBK" w:cs="方正仿宋_GBK"/>
          <w:color w:val="auto"/>
          <w:sz w:val="32"/>
          <w:szCs w:val="32"/>
          <w:lang w:val="zh-CN"/>
        </w:rPr>
        <w:t>大师生践行社会主义核心价值观，充分发挥文化育人、活动育人评价激励功能，确保社会主义核心价值观工作“落小、落细、落实”。</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3.全员参与，共建、共享平安校园。校园平安、平安校园，是师生共建，也是师生共享。学校一直贯彻落实《学校卫生工作条例》和各级安全工作会议精神，坚持不懈地搞好学校安全工作，确保师生安全和教育教学秩序的稳定。</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4.校务会引领，工作室示范，活动作保障，促进各层次教师专业成长。（1）管理层队伍建设。通过办公室例会、业务培训、微信学习等方式，加强管理层人员的业务与意识形态领域培训，以提升履职尽责的责任感和使命感，增强执行力和战斗力。（2）发展青年教师团队，构建骨干教师队伍，采用多种方式对教师进行培训，以此提升教师业务素养，积淀学校发展后力。</w:t>
      </w:r>
    </w:p>
    <w:p>
      <w:pPr>
        <w:keepNext w:val="0"/>
        <w:keepLines w:val="0"/>
        <w:pageBreakBefore w:val="0"/>
        <w:widowControl w:val="0"/>
        <w:kinsoku/>
        <w:wordWrap/>
        <w:overflowPunct/>
        <w:topLinePunct w:val="0"/>
        <w:autoSpaceDE/>
        <w:autoSpaceDN/>
        <w:bidi w:val="0"/>
        <w:spacing w:line="590" w:lineRule="exact"/>
        <w:ind w:firstLine="6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sz w:val="32"/>
          <w:szCs w:val="32"/>
          <w:lang w:val="zh-CN"/>
        </w:rPr>
        <w:t>5.抓实后勤服务，提升服务品质。（1）加强后勤工作人员思想建设，强化责任意识。（2）严肃财经纪律，规范财务管理</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widowControl w:val="0"/>
        <w:kinsoku/>
        <w:wordWrap/>
        <w:overflowPunct/>
        <w:topLinePunct w:val="0"/>
        <w:autoSpaceDE/>
        <w:autoSpaceDN/>
        <w:bidi w:val="0"/>
        <w:spacing w:line="590" w:lineRule="exact"/>
        <w:ind w:firstLine="640" w:firstLineChars="200"/>
        <w:jc w:val="center"/>
        <w:textAlignment w:val="auto"/>
        <w:outlineLvl w:val="1"/>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（详见附件）</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没有政府性基金收入，也没有使用政府性基金安排的支出，故《政府性基金预算财政拨款收入支出决算表》无数据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国有资本经营</w:t>
      </w:r>
      <w:r>
        <w:rPr>
          <w:rFonts w:hint="default" w:ascii="Times New Roman" w:hAnsi="Times New Roman" w:eastAsia="方正仿宋_GBK" w:cs="Times New Roman"/>
          <w:sz w:val="32"/>
          <w:szCs w:val="32"/>
        </w:rPr>
        <w:t>收入，也没有使用</w:t>
      </w:r>
      <w:r>
        <w:rPr>
          <w:rFonts w:hint="default" w:ascii="Times New Roman" w:hAnsi="Times New Roman" w:eastAsia="方正仿宋_GBK" w:cs="Times New Roman"/>
          <w:color w:val="auto"/>
          <w:sz w:val="32"/>
          <w:szCs w:val="32"/>
        </w:rPr>
        <w:t>国有资本经营</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《国有资本经营预算财政拨款收入支出决算表》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“三公”经费、行政参公单位机关运行经费</w:t>
      </w:r>
      <w:r>
        <w:rPr>
          <w:rFonts w:hint="default" w:ascii="Times New Roman" w:hAnsi="Times New Roman" w:eastAsia="方正仿宋_GBK" w:cs="Times New Roman"/>
          <w:color w:val="auto"/>
          <w:sz w:val="32"/>
          <w:szCs w:val="32"/>
          <w:lang w:eastAsia="zh-CN"/>
        </w:rPr>
        <w:t>收入和</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《财政拨款“三公”经费、行政参公单位机关运行经费情况表》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一般公共预算财政拨款“三公”经费</w:t>
      </w:r>
      <w:r>
        <w:rPr>
          <w:rFonts w:hint="default" w:ascii="Times New Roman" w:hAnsi="Times New Roman" w:eastAsia="方正仿宋_GBK" w:cs="Times New Roman"/>
          <w:color w:val="auto"/>
          <w:sz w:val="32"/>
          <w:szCs w:val="32"/>
          <w:lang w:eastAsia="zh-CN"/>
        </w:rPr>
        <w:t>收入和</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《一般公共预算财政拨款“三公”经费情况表》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一、收入决算情况说明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903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519.16</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738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769.16</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97.92</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收入；其他收入</w:t>
      </w:r>
      <w:r>
        <w:rPr>
          <w:rFonts w:hint="default" w:ascii="Times New Roman" w:hAnsi="Times New Roman" w:eastAsia="方正仿宋_GBK" w:cs="Times New Roman"/>
          <w:color w:val="auto"/>
          <w:sz w:val="32"/>
          <w:szCs w:val="32"/>
          <w:lang w:val="zh-CN"/>
        </w:rPr>
        <w:t>164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2.08</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763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259.93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8.81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928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009.93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10.71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164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750.00</w:t>
      </w:r>
      <w:r>
        <w:rPr>
          <w:rFonts w:hint="default" w:ascii="Times New Roman" w:hAnsi="Times New Roman" w:eastAsia="方正仿宋_GBK" w:cs="Times New Roman"/>
          <w:sz w:val="32"/>
          <w:szCs w:val="32"/>
          <w:highlight w:val="none"/>
          <w:lang w:eastAsia="zh-CN"/>
        </w:rPr>
        <w:t>元，上年无此项收入。</w:t>
      </w:r>
      <w:r>
        <w:rPr>
          <w:rFonts w:hint="default" w:ascii="Times New Roman" w:hAnsi="Times New Roman" w:eastAsia="方正仿宋_GBK" w:cs="Times New Roman"/>
          <w:color w:val="auto"/>
          <w:sz w:val="32"/>
          <w:szCs w:val="32"/>
        </w:rPr>
        <w:t>主要原因是教职工和学生数减少，导致人员经费等拨款收入减少</w:t>
      </w:r>
      <w:r>
        <w:rPr>
          <w:rFonts w:hint="default" w:ascii="Times New Roman" w:hAnsi="Times New Roman" w:eastAsia="方正仿宋_GBK" w:cs="Times New Roman"/>
          <w:color w:val="auto"/>
          <w:sz w:val="32"/>
          <w:szCs w:val="32"/>
          <w:lang w:eastAsia="zh-CN"/>
        </w:rPr>
        <w:t>。</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二、支出决算情况说明</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738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769.16</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317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970.38</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94.56</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420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798.78</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5.44</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对附属单位补助支出。</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928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009.93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10.71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176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013.94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2.35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751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995.99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64.12</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color w:val="auto"/>
          <w:sz w:val="32"/>
          <w:szCs w:val="32"/>
        </w:rPr>
        <w:t>教师和学生数减少，基本支出减少</w:t>
      </w:r>
      <w:r>
        <w:rPr>
          <w:rFonts w:hint="default" w:ascii="Times New Roman" w:hAnsi="Times New Roman" w:eastAsia="方正仿宋_GBK" w:cs="Times New Roman"/>
          <w:color w:val="auto"/>
          <w:sz w:val="32"/>
          <w:szCs w:val="32"/>
          <w:lang w:eastAsia="zh-CN"/>
        </w:rPr>
        <w:t>；上年度支出运动场资金，故本年项目支出减少明显</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（一）基本支出情况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317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970.38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299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970.38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99.75</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18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0.25</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420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798.78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rPr>
        <w:t>具体项目开支及开展工作情况：1.峨财预〔2024〕8号农村义务教育学生营养改善计划补助资金229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045</w:t>
      </w:r>
      <w:r>
        <w:rPr>
          <w:rFonts w:hint="default" w:ascii="Times New Roman" w:hAnsi="Times New Roman" w:eastAsia="方正仿宋_GBK" w:cs="Times New Roman"/>
          <w:color w:val="auto"/>
          <w:sz w:val="32"/>
          <w:szCs w:val="32"/>
          <w:lang w:val="en-US" w:eastAsia="zh-CN"/>
        </w:rPr>
        <w:t>.00元；2.峨财教〔2024〕2号塔甸中学城乡义务教育阶段公用经费专项资金90,475.45元；3.玉财教〔2023〕8号城乡义务教育阶段公用经费专项资金11,880.33元；4.玉财教〔2023〕270号塔甸中学义务教育课后服务资金39,424.00元；5.峨财预〔2024〕8号遗属补助资金49,974.00元。</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三、一般公共预算财政拨款支出决算情况说明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（一）一般公共预算财政拨款支出决算总体情况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7</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738</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769.16</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928</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009.93</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10.71</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94.91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（二）一般公共预算财政拨款支出决算</w:t>
      </w:r>
      <w:r>
        <w:rPr>
          <w:rFonts w:hint="eastAsia" w:ascii="方正楷体_GBK" w:hAnsi="方正楷体_GBK" w:eastAsia="方正楷体_GBK" w:cs="方正楷体_GBK"/>
          <w:sz w:val="32"/>
          <w:szCs w:val="32"/>
          <w:highlight w:val="none"/>
          <w:lang w:eastAsia="zh-CN"/>
        </w:rPr>
        <w:t>分功能分类科目情况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1.一般公共服务（类）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2.外交（类）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3.国防（类）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4.公共安全（类）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6,123,393.37</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79.13</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105.38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sz w:val="32"/>
          <w:szCs w:val="32"/>
        </w:rPr>
        <w:t>除科学技术支出、社保、医疗、住房保障外的人员经费支出和公用经费支出</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造成预决算差异的主要原因是预算编制不准确导致。</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6.科学技术（类）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7.文化旅游体育与传媒（类）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1,038,161.88</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13.42</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86.20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sz w:val="32"/>
          <w:szCs w:val="32"/>
        </w:rPr>
        <w:t>在职人员养老保险支出及离退休人员的离退休经费开支</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造成预决算差异的主要原因是离退休人员生活补助等项目未完全实施</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466</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725.91</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6.03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99.68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sz w:val="32"/>
          <w:szCs w:val="32"/>
        </w:rPr>
        <w:t>教职工的基本医疗保险缴费支出</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造成预决算差异的主要原因是教职工人数变动及保险基数调整等</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10.节能环保（类）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11.城乡社区（类）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12.农林水（类）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13.交通运输（类）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15.商业服务业等（类）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16.金融（类）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17.援助其他地区（类）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110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488.00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1.43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16.48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color w:val="auto"/>
          <w:sz w:val="32"/>
          <w:szCs w:val="32"/>
        </w:rPr>
        <w:t>按规定比例为教职工缴纳的住房公积金支出</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造成预决算差异的主要原因是住房公积金单位部分未按时缴纳</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20.粮油物资储备（类）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24.债务还本（类）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25.债务付息（类）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kern w:val="0"/>
          <w:sz w:val="32"/>
          <w:szCs w:val="32"/>
          <w:lang w:val="en-US"/>
        </w:rPr>
        <w:t>26.抗疫特别国债安排（类）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numPr>
          <w:ilvl w:val="0"/>
          <w:numId w:val="1"/>
        </w:numPr>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default" w:ascii="Times New Roman" w:hAnsi="Times New Roman" w:eastAsia="方正仿宋_GBK" w:cs="Times New Roman"/>
          <w:kern w:val="0"/>
          <w:sz w:val="32"/>
          <w:szCs w:val="32"/>
          <w:highlight w:val="none"/>
        </w:rPr>
        <w:t>年度财政拨款“三公”经费支出决算中，财政拨款“三公”</w:t>
      </w:r>
      <w:r>
        <w:rPr>
          <w:rFonts w:hint="default" w:ascii="Times New Roman" w:hAnsi="Times New Roman" w:eastAsia="方正仿宋_GBK" w:cs="Times New Roman"/>
          <w:color w:val="auto"/>
          <w:kern w:val="0"/>
          <w:sz w:val="32"/>
          <w:szCs w:val="32"/>
          <w:highlight w:val="none"/>
        </w:rPr>
        <w:t>经费支出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highlight w:val="none"/>
        </w:rPr>
        <w:t>元，决算为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rPr>
        <w:t>因公出国（境）费支出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%；公务用车购置费支出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w:t>
      </w:r>
      <w:r>
        <w:rPr>
          <w:rFonts w:hint="default" w:ascii="Times New Roman" w:hAnsi="Times New Roman" w:eastAsia="方正仿宋_GBK" w:cs="Times New Roman"/>
          <w:kern w:val="0"/>
          <w:sz w:val="32"/>
          <w:szCs w:val="32"/>
          <w:highlight w:val="none"/>
          <w:lang w:eastAsia="zh-CN"/>
        </w:rPr>
        <w:t>运行维护</w:t>
      </w:r>
      <w:r>
        <w:rPr>
          <w:rFonts w:hint="default" w:ascii="Times New Roman" w:hAnsi="Times New Roman" w:eastAsia="方正仿宋_GBK" w:cs="Times New Roman"/>
          <w:kern w:val="0"/>
          <w:sz w:val="32"/>
          <w:szCs w:val="32"/>
          <w:highlight w:val="none"/>
        </w:rPr>
        <w:t>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公务接待费支出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w:t>
      </w:r>
      <w:r>
        <w:rPr>
          <w:rFonts w:hint="default" w:ascii="Times New Roman" w:hAnsi="Times New Roman" w:eastAsia="方正仿宋_GBK" w:cs="Times New Roman"/>
          <w:color w:val="auto"/>
          <w:kern w:val="0"/>
          <w:sz w:val="32"/>
          <w:szCs w:val="32"/>
          <w:highlight w:val="none"/>
        </w:rPr>
        <w:t>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rPr>
        <w:t>因公出国（境）费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公务用车购置费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，支出决算为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；公务用车购置费支出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；公务接待费支出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年度一般公共预算财政拨款“三公”经费支出决算数</w:t>
      </w:r>
      <w:r>
        <w:rPr>
          <w:rFonts w:hint="default" w:ascii="Times New Roman" w:hAnsi="Times New Roman" w:eastAsia="方正仿宋_GBK" w:cs="Times New Roman"/>
          <w:sz w:val="32"/>
          <w:szCs w:val="32"/>
          <w:highlight w:val="none"/>
          <w:lang w:val="en-US" w:eastAsia="zh-CN"/>
        </w:rPr>
        <w:t>等于</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无差异</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一般公共预算财政拨款“三公”经费支出</w:t>
      </w:r>
      <w:r>
        <w:rPr>
          <w:rFonts w:hint="default" w:ascii="Times New Roman" w:hAnsi="Times New Roman" w:eastAsia="方正仿宋_GBK" w:cs="Times New Roman"/>
          <w:color w:val="auto"/>
          <w:sz w:val="32"/>
          <w:szCs w:val="32"/>
          <w:highlight w:val="none"/>
          <w:lang w:eastAsia="zh-CN"/>
        </w:rPr>
        <w:t>中：</w:t>
      </w:r>
      <w:r>
        <w:rPr>
          <w:rFonts w:hint="default" w:ascii="Times New Roman" w:hAnsi="Times New Roman" w:eastAsia="方正仿宋_GBK" w:cs="Times New Roman"/>
          <w:color w:val="auto"/>
          <w:sz w:val="32"/>
          <w:szCs w:val="32"/>
          <w:highlight w:val="none"/>
        </w:rPr>
        <w:t>因公出国（境）费支出决算增加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；公务用车购置费支出决算增加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sz w:val="32"/>
          <w:szCs w:val="32"/>
          <w:highlight w:val="none"/>
        </w:rPr>
        <w:t>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；公务接待费支出决算增加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年度一般公共预算财政拨款“三公”经费支出决算</w:t>
      </w:r>
      <w:r>
        <w:rPr>
          <w:rFonts w:hint="default" w:ascii="Times New Roman" w:hAnsi="Times New Roman" w:eastAsia="方正仿宋_GBK" w:cs="Times New Roman"/>
          <w:color w:val="auto"/>
          <w:sz w:val="32"/>
          <w:szCs w:val="32"/>
          <w:highlight w:val="none"/>
          <w:lang w:val="en-US" w:eastAsia="zh-CN"/>
        </w:rPr>
        <w:t>与</w:t>
      </w:r>
      <w:r>
        <w:rPr>
          <w:rFonts w:hint="default" w:ascii="Times New Roman" w:hAnsi="Times New Roman" w:eastAsia="方正仿宋_GBK" w:cs="Times New Roman"/>
          <w:sz w:val="32"/>
          <w:szCs w:val="32"/>
          <w:highlight w:val="none"/>
          <w:lang w:val="en-US" w:eastAsia="zh-CN"/>
        </w:rPr>
        <w:t>上年相比无差异</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人次。</w:t>
      </w:r>
      <w:r>
        <w:rPr>
          <w:rFonts w:hint="default" w:ascii="Times New Roman" w:hAnsi="Times New Roman" w:eastAsia="方正仿宋_GBK" w:cs="Times New Roman"/>
          <w:color w:val="auto"/>
          <w:sz w:val="32"/>
          <w:szCs w:val="32"/>
        </w:rPr>
        <w:t>本单位无此项支出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w:t>
      </w:r>
      <w:r>
        <w:rPr>
          <w:rFonts w:hint="default" w:ascii="Times New Roman" w:hAnsi="Times New Roman" w:eastAsia="方正仿宋_GBK" w:cs="Times New Roman"/>
          <w:b w:val="0"/>
          <w:bCs/>
          <w:sz w:val="32"/>
          <w:szCs w:val="32"/>
          <w:highlight w:val="none"/>
          <w:lang w:eastAsia="zh-CN"/>
        </w:rPr>
        <w:t>本单位无此项支出</w:t>
      </w:r>
      <w:r>
        <w:rPr>
          <w:rFonts w:hint="default" w:ascii="Times New Roman" w:hAnsi="Times New Roman" w:eastAsia="方正仿宋_GBK" w:cs="Times New Roman"/>
          <w:b w:val="0"/>
          <w:bCs/>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人）。安排国（境）外公务接待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w:t>
      </w:r>
      <w:r>
        <w:rPr>
          <w:rFonts w:hint="default" w:ascii="Times New Roman" w:hAnsi="Times New Roman" w:eastAsia="方正仿宋_GBK" w:cs="Times New Roman"/>
          <w:color w:val="auto"/>
          <w:sz w:val="32"/>
          <w:szCs w:val="32"/>
        </w:rPr>
        <w:t>本单位无此项支出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机关运行经费支出情况</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无</w:t>
      </w:r>
      <w:r>
        <w:rPr>
          <w:rFonts w:hint="default" w:ascii="Times New Roman" w:hAnsi="Times New Roman" w:eastAsia="方正仿宋_GBK" w:cs="Times New Roman"/>
          <w:sz w:val="32"/>
          <w:szCs w:val="32"/>
          <w:highlight w:val="none"/>
        </w:rPr>
        <w:t>机关运行经费</w:t>
      </w:r>
      <w:r>
        <w:rPr>
          <w:rFonts w:hint="default" w:ascii="Times New Roman" w:hAnsi="Times New Roman" w:eastAsia="方正仿宋_GBK" w:cs="Times New Roman"/>
          <w:sz w:val="32"/>
          <w:szCs w:val="32"/>
          <w:highlight w:val="none"/>
          <w:lang w:val="en-US" w:eastAsia="zh-CN"/>
        </w:rPr>
        <w:t>支出</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峨山彝族自治县塔甸中学</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highlight w:val="none"/>
          <w:lang w:val="en-US" w:eastAsia="zh-CN"/>
        </w:rPr>
        <w:t>7,714,567.83</w:t>
      </w:r>
      <w:r>
        <w:rPr>
          <w:rFonts w:hint="default" w:ascii="Times New Roman" w:hAnsi="Times New Roman" w:eastAsia="方正仿宋_GBK" w:cs="Times New Roman"/>
          <w:sz w:val="32"/>
          <w:szCs w:val="32"/>
          <w:highlight w:val="none"/>
          <w:lang w:eastAsia="zh-CN"/>
        </w:rPr>
        <w:t>元，其中，流动资产</w:t>
      </w:r>
      <w:r>
        <w:rPr>
          <w:rFonts w:hint="default" w:ascii="Times New Roman" w:hAnsi="Times New Roman" w:eastAsia="方正仿宋_GBK" w:cs="Times New Roman"/>
          <w:sz w:val="32"/>
          <w:szCs w:val="32"/>
          <w:highlight w:val="none"/>
          <w:lang w:val="en-US" w:eastAsia="zh-CN"/>
        </w:rPr>
        <w:t>217,375.01</w:t>
      </w:r>
      <w:r>
        <w:rPr>
          <w:rFonts w:hint="default" w:ascii="Times New Roman" w:hAnsi="Times New Roman" w:eastAsia="方正仿宋_GBK" w:cs="Times New Roman"/>
          <w:sz w:val="32"/>
          <w:szCs w:val="32"/>
          <w:highlight w:val="none"/>
          <w:lang w:eastAsia="zh-CN"/>
        </w:rPr>
        <w:t>元，固定资产</w:t>
      </w:r>
      <w:r>
        <w:rPr>
          <w:rFonts w:hint="default" w:ascii="Times New Roman" w:hAnsi="Times New Roman" w:eastAsia="方正仿宋_GBK" w:cs="Times New Roman"/>
          <w:sz w:val="32"/>
          <w:szCs w:val="32"/>
          <w:highlight w:val="none"/>
          <w:lang w:val="en-US" w:eastAsia="zh-CN"/>
        </w:rPr>
        <w:t>7,497,192.82</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lang w:val="en-US" w:eastAsia="zh-CN"/>
        </w:rPr>
        <w:t>166,523.77</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lang w:val="en-US" w:eastAsia="zh-CN"/>
        </w:rPr>
        <w:t>223,458.03</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2024年度，单位政府采购支出总额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exact"/>
        <w:ind w:firstLine="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color w:val="auto"/>
          <w:sz w:val="32"/>
          <w:szCs w:val="32"/>
        </w:rPr>
        <w:t>峨山彝族自治县塔甸中学无其他重要事项情况</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基本支出中人员经费包括工资福利支出和对个人和家庭的补助，公用</w:t>
      </w:r>
      <w:r>
        <w:rPr>
          <w:rFonts w:hint="eastAsia" w:ascii="方正楷体_GBK" w:hAnsi="方正楷体_GBK" w:eastAsia="方正楷体_GBK" w:cs="方正楷体_GBK"/>
          <w:sz w:val="32"/>
          <w:szCs w:val="32"/>
          <w:highlight w:val="none"/>
          <w:lang w:eastAsia="zh-CN"/>
        </w:rPr>
        <w:t>经费</w:t>
      </w:r>
      <w:r>
        <w:rPr>
          <w:rFonts w:hint="eastAsia" w:ascii="方正楷体_GBK" w:hAnsi="方正楷体_GBK" w:eastAsia="方正楷体_GBK" w:cs="方正楷体_GBK"/>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机关运行经费指行政单位和参照公务员法管理的事业单位使用一般公共预算财政拨款安排的基本支出中的公用经费支出</w:t>
      </w:r>
      <w:r>
        <w:rPr>
          <w:rFonts w:hint="eastAsia" w:ascii="方正楷体_GBK" w:hAnsi="方正楷体_GBK" w:eastAsia="方正楷体_GBK" w:cs="方正楷体_GBK"/>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方正楷体_GBK" w:hAnsi="方正楷体_GBK" w:eastAsia="方正楷体_GBK" w:cs="方正楷体_GBK"/>
          <w:sz w:val="32"/>
          <w:szCs w:val="32"/>
          <w:highlight w:val="none"/>
          <w:lang w:eastAsia="zh-CN"/>
        </w:rPr>
        <w:t>、牌照费</w:t>
      </w:r>
      <w:r>
        <w:rPr>
          <w:rFonts w:hint="eastAsia" w:ascii="方正楷体_GBK" w:hAnsi="方正楷体_GBK" w:eastAsia="方正楷体_GBK" w:cs="方正楷体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方正楷体_GBK" w:hAnsi="方正楷体_GBK" w:eastAsia="方正楷体_GBK" w:cs="方正楷体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（四）本文所称财政拨款</w:t>
      </w:r>
      <w:r>
        <w:rPr>
          <w:rFonts w:hint="eastAsia" w:ascii="方正楷体_GBK" w:hAnsi="方正楷体_GBK" w:eastAsia="方正楷体_GBK" w:cs="方正楷体_GBK"/>
          <w:sz w:val="32"/>
          <w:szCs w:val="32"/>
          <w:highlight w:val="none"/>
        </w:rPr>
        <w:t>“三公”经费决算数</w:t>
      </w:r>
      <w:r>
        <w:rPr>
          <w:rFonts w:hint="eastAsia" w:ascii="方正楷体_GBK" w:hAnsi="方正楷体_GBK" w:eastAsia="方正楷体_GBK" w:cs="方正楷体_GBK"/>
          <w:sz w:val="32"/>
          <w:szCs w:val="32"/>
          <w:highlight w:val="none"/>
          <w:lang w:eastAsia="zh-CN"/>
        </w:rPr>
        <w:t>是</w:t>
      </w:r>
      <w:r>
        <w:rPr>
          <w:rFonts w:hint="eastAsia" w:ascii="方正楷体_GBK" w:hAnsi="方正楷体_GBK" w:eastAsia="方正楷体_GBK" w:cs="方正楷体_GBK"/>
          <w:sz w:val="32"/>
          <w:szCs w:val="32"/>
          <w:highlight w:val="none"/>
        </w:rPr>
        <w:t>指各部门（含下属单位）</w:t>
      </w:r>
      <w:r>
        <w:rPr>
          <w:rFonts w:hint="eastAsia" w:ascii="方正楷体_GBK" w:hAnsi="方正楷体_GBK" w:eastAsia="方正楷体_GBK" w:cs="方正楷体_GBK"/>
          <w:sz w:val="32"/>
          <w:szCs w:val="32"/>
          <w:highlight w:val="none"/>
          <w:lang w:eastAsia="zh-CN"/>
        </w:rPr>
        <w:t>或单位</w:t>
      </w:r>
      <w:r>
        <w:rPr>
          <w:rFonts w:hint="eastAsia" w:ascii="方正楷体_GBK" w:hAnsi="方正楷体_GBK" w:eastAsia="方正楷体_GBK" w:cs="方正楷体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autoSpaceDN/>
        <w:bidi w:val="0"/>
        <w:spacing w:line="590" w:lineRule="exact"/>
        <w:textAlignment w:val="auto"/>
        <w:rPr>
          <w:highlight w:val="none"/>
        </w:rPr>
      </w:pPr>
    </w:p>
    <w:p>
      <w:pPr>
        <w:rPr>
          <w:rFonts w:ascii="Arial" w:hAnsi="Arial" w:eastAsia="Arial" w:cs="Arial"/>
          <w:b/>
          <w:sz w:val="36"/>
        </w:rPr>
      </w:pPr>
      <w:r>
        <w:rPr>
          <w:rFonts w:ascii="Arial" w:hAnsi="Arial" w:eastAsia="Arial" w:cs="Arial"/>
          <w:b/>
          <w:sz w:val="36"/>
        </w:rPr>
        <w:t>监督索引号53042600136001801111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440306"/>
    <w:rsid w:val="08BA3B1A"/>
    <w:rsid w:val="09151F1E"/>
    <w:rsid w:val="0B1D155E"/>
    <w:rsid w:val="0D954BC1"/>
    <w:rsid w:val="0DFE11D3"/>
    <w:rsid w:val="18A174D5"/>
    <w:rsid w:val="1CC021CA"/>
    <w:rsid w:val="1D4C6ADD"/>
    <w:rsid w:val="21B518DD"/>
    <w:rsid w:val="21C659D1"/>
    <w:rsid w:val="2C0E2AD1"/>
    <w:rsid w:val="30532C94"/>
    <w:rsid w:val="31820EA4"/>
    <w:rsid w:val="33745697"/>
    <w:rsid w:val="37C8447C"/>
    <w:rsid w:val="3AAD35FB"/>
    <w:rsid w:val="3BD70299"/>
    <w:rsid w:val="3E175771"/>
    <w:rsid w:val="3FB47094"/>
    <w:rsid w:val="41023FF9"/>
    <w:rsid w:val="424D7975"/>
    <w:rsid w:val="43104F29"/>
    <w:rsid w:val="47953BCE"/>
    <w:rsid w:val="4D937721"/>
    <w:rsid w:val="4E5A7D37"/>
    <w:rsid w:val="507D6C62"/>
    <w:rsid w:val="55026785"/>
    <w:rsid w:val="57692EE1"/>
    <w:rsid w:val="5A0C7DA1"/>
    <w:rsid w:val="5CBD5382"/>
    <w:rsid w:val="5E3C677A"/>
    <w:rsid w:val="5E8A5EC2"/>
    <w:rsid w:val="68B4362F"/>
    <w:rsid w:val="68BC5F81"/>
    <w:rsid w:val="6C44495E"/>
    <w:rsid w:val="71455C45"/>
    <w:rsid w:val="71F61570"/>
    <w:rsid w:val="74500088"/>
    <w:rsid w:val="76202C73"/>
    <w:rsid w:val="77277B95"/>
    <w:rsid w:val="780D6D66"/>
    <w:rsid w:val="786646C8"/>
    <w:rsid w:val="7A036672"/>
    <w:rsid w:val="7A6C1D46"/>
    <w:rsid w:val="7C9804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p_MsoNormal"/>
    <w:basedOn w:val="1"/>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fcff7-c7a2-49ce-bd02-982721ebbfd8}">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14</Pages>
  <Words>5721</Words>
  <Characters>6479</Characters>
  <Lines>0</Lines>
  <Paragraphs>0</Paragraphs>
  <TotalTime>33</TotalTime>
  <ScaleCrop>false</ScaleCrop>
  <LinksUpToDate>false</LinksUpToDate>
  <CharactersWithSpaces>6500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11DF734F11DF4CFEA5BA4EAB920FD6D9_12</vt:lpwstr>
  </property>
  <property fmtid="{D5CDD505-2E9C-101B-9397-08002B2CF9AE}" pid="3" name="KSOProductBuildVer">
    <vt:lpwstr>2052-11.8.2.12089</vt:lpwstr>
  </property>
  <property fmtid="{D5CDD505-2E9C-101B-9397-08002B2CF9AE}" pid="4" name="KSOTemplateDocerSaveRecord">
    <vt:lpwstr>eyJoZGlkIjoiZTdlZGJjMzA0MjQwMzg5MzY5MWVlOTNkMTQyYWE5MzUiLCJ1c2VySWQiOiI1MzI0MDAzOTkifQ==</vt:lpwstr>
  </property>
</Properties>
</file>