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bookmarkStart w:id="1" w:name="_GoBack"/>
      <w:r>
        <w:rPr>
          <w:rFonts w:ascii="Arial" w:hAnsi="Arial" w:eastAsia="Arial" w:cs="Arial"/>
          <w:b/>
          <w:sz w:val="36"/>
        </w:rPr>
        <w:t>监督索引号53042600135700201000</w:t>
      </w:r>
    </w:p>
    <w:p>
      <w:pPr>
        <w:jc w:val="center"/>
        <w:outlineLvl w:val="0"/>
        <w:rPr>
          <w:rFonts w:hint="eastAsia" w:ascii="方正小标宋简体" w:hAnsi="方正小标宋简体" w:eastAsia="方正小标宋简体" w:cs="方正小标宋简体"/>
          <w:sz w:val="44"/>
          <w:szCs w:val="36"/>
          <w:highlight w:val="none"/>
        </w:rPr>
      </w:pPr>
      <w:r>
        <w:rPr>
          <w:rFonts w:hint="eastAsia" w:ascii="方正小标宋简体" w:hAnsi="方正小标宋简体" w:eastAsia="方正小标宋简体"/>
          <w:sz w:val="44"/>
          <w:lang w:val="zh-CN"/>
        </w:rPr>
        <w:t>峨山彝族自治县群众文化工作队</w:t>
      </w:r>
      <w:r>
        <w:rPr>
          <w:rFonts w:hint="eastAsia" w:ascii="方正小标宋简体" w:hAnsi="方正小标宋简体" w:eastAsia="方正小标宋简体" w:cs="方正小标宋简体"/>
          <w:sz w:val="44"/>
          <w:szCs w:val="36"/>
          <w:highlight w:val="none"/>
          <w:lang w:val="en-US" w:eastAsia="zh-CN"/>
        </w:rPr>
        <w:t>2024</w:t>
      </w:r>
      <w:r>
        <w:rPr>
          <w:rFonts w:hint="eastAsia" w:ascii="方正小标宋简体" w:hAnsi="方正小标宋简体" w:eastAsia="方正小标宋简体" w:cs="方正小标宋简体"/>
          <w:sz w:val="44"/>
          <w:szCs w:val="36"/>
          <w:highlight w:val="none"/>
        </w:rPr>
        <w:t>年度部门决算</w:t>
      </w:r>
    </w:p>
    <w:p>
      <w:pPr>
        <w:jc w:val="center"/>
        <w:rPr>
          <w:rFonts w:hint="eastAsia" w:ascii="方正小标宋简体" w:hAnsi="方正小标宋简体" w:eastAsia="方正小标宋简体" w:cs="方正小标宋简体"/>
          <w:sz w:val="44"/>
          <w:szCs w:val="36"/>
          <w:highlight w:val="none"/>
        </w:rPr>
      </w:pPr>
    </w:p>
    <w:p>
      <w:pPr>
        <w:jc w:val="center"/>
        <w:outlineLvl w:val="0"/>
        <w:rPr>
          <w:rFonts w:hint="eastAsia" w:ascii="方正小标宋简体" w:hAnsi="方正小标宋简体" w:eastAsia="方正小标宋简体" w:cs="方正小标宋简体"/>
          <w:sz w:val="44"/>
          <w:szCs w:val="36"/>
          <w:highlight w:val="none"/>
          <w:lang w:eastAsia="zh-CN"/>
        </w:rPr>
      </w:pPr>
      <w:r>
        <w:rPr>
          <w:rFonts w:hint="eastAsia" w:ascii="方正小标宋简体" w:hAnsi="方正小标宋简体" w:eastAsia="方正小标宋简体" w:cs="方正小标宋简体"/>
          <w:sz w:val="44"/>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keepNext w:val="0"/>
        <w:keepLines w:val="0"/>
        <w:pageBreakBefore w:val="0"/>
        <w:kinsoku/>
        <w:overflowPunct/>
        <w:topLinePunct w:val="0"/>
        <w:bidi w:val="0"/>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rPr>
        <w:t>一、主要</w:t>
      </w:r>
      <w:r>
        <w:rPr>
          <w:rFonts w:hint="eastAsia" w:ascii="黑体" w:hAnsi="黑体" w:eastAsia="黑体"/>
          <w:sz w:val="32"/>
          <w:szCs w:val="32"/>
          <w:highlight w:val="none"/>
          <w:lang w:eastAsia="zh-CN"/>
        </w:rPr>
        <w:t>职责</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672" w:firstLineChars="210"/>
        <w:textAlignment w:val="auto"/>
        <w:rPr>
          <w:rFonts w:hint="eastAsia"/>
          <w:bCs/>
          <w:szCs w:val="30"/>
          <w:highlight w:val="none"/>
        </w:rPr>
      </w:pPr>
      <w:r>
        <w:rPr>
          <w:rFonts w:hint="eastAsia" w:ascii="仿宋_GB2312" w:hAnsi="仿宋" w:eastAsia="仿宋_GB2312"/>
          <w:sz w:val="32"/>
          <w:szCs w:val="32"/>
        </w:rPr>
        <w:t>坚持党的“双百”方针和“二位”方向。创作演出舞台艺术优秀剧目，整理加工与保护传统艺术，艺术研究评论普及与推广。艺术创作表演人才培养，下乡为广大基层群众演出，宣传党的各项方针政策。</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二、基本情况</w:t>
      </w: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（一）机构设置情况</w:t>
      </w:r>
    </w:p>
    <w:p>
      <w:pPr>
        <w:keepNext w:val="0"/>
        <w:keepLines w:val="0"/>
        <w:pageBreakBefore w:val="0"/>
        <w:kinsoku/>
        <w:overflowPunct/>
        <w:topLinePunct w:val="0"/>
        <w:bidi w:val="0"/>
        <w:spacing w:line="590" w:lineRule="exact"/>
        <w:ind w:firstLine="600" w:firstLineChars="200"/>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我单位共设置1个内设机构，包括：办公室。</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lang w:eastAsia="zh-CN"/>
        </w:rPr>
        <w:t>（二）</w:t>
      </w:r>
      <w:r>
        <w:rPr>
          <w:rFonts w:hint="eastAsia" w:ascii="楷体" w:hAnsi="楷体" w:eastAsia="楷体"/>
          <w:sz w:val="32"/>
          <w:szCs w:val="32"/>
          <w:highlight w:val="none"/>
        </w:rPr>
        <w:t>决算单位构成</w:t>
      </w:r>
    </w:p>
    <w:p>
      <w:pPr>
        <w:keepNext w:val="0"/>
        <w:keepLines w:val="0"/>
        <w:pageBreakBefore w:val="0"/>
        <w:kinsoku/>
        <w:overflowPunct/>
        <w:topLinePunct w:val="0"/>
        <w:bidi w:val="0"/>
        <w:spacing w:line="59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二级</w:t>
      </w:r>
      <w:r>
        <w:rPr>
          <w:rFonts w:hint="eastAsia" w:ascii="仿宋_GB2312" w:eastAsia="仿宋_GB2312"/>
          <w:sz w:val="30"/>
          <w:szCs w:val="30"/>
          <w:highlight w:val="none"/>
          <w:lang w:eastAsia="zh-CN"/>
        </w:rPr>
        <w:t>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 xml:space="preserve">（三）单位人员和车辆的编制及实有情况 </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23</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23</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keepNext w:val="0"/>
        <w:keepLines w:val="0"/>
        <w:pageBreakBefore w:val="0"/>
        <w:kinsoku/>
        <w:overflowPunct/>
        <w:topLinePunct w:val="0"/>
        <w:bidi w:val="0"/>
        <w:spacing w:line="590" w:lineRule="exact"/>
        <w:ind w:firstLine="600" w:firstLineChars="200"/>
        <w:textAlignment w:val="auto"/>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车辆编制1辆，在编实有车辆0辆，超编0辆。</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三、重点工作概述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2024年1月1日～5日:峨山县2024“庆元旦-迎新春“群众文化惠民文艺演出(5场次)</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2024年1月20日:2024年“中国梦.玉溪情”文艺进景区演出(2场次)</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地点:峨山月亮湾休闲区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2024年1月22日:云南省第七届“中国人寿杯”老年春晚(玉溪赛区)决赛</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地点:玉溪聂耳广场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2024年1月25 日:中管院唐中华夏幼儿园“唐古贺新春.龙兴韵华夏”迎春主题活动演出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地点:玉溪红塔大酒店</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2024年1月30日:云南省第七届“中国人寿杯”老年春晚(彩排)</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地点:云南广播电视台一号演播厅(呈贡区）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2024年1月31日:云南省第七届“中国人寿杯”老年春晚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地点:云南广播电视台一号演播厅(呈贡区)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2024年2月7日:大地欢歌迎新春 五谷丰登庆丰年——2024年“鼓舞彝乡 幸福峨山”全国“村晚”示范展示点活动(彩排)</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地点:峨山嶍峨古镇</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2024年2月8日:大地欢歌迎新春 五谷丰登庆丰年——2024年“鼓舞彝乡 幸福峨山”全国“村晚”示范展示点活动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地点:峨山嶍峨古镇</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2024年2月11日～14日“欢欢喜喜过大年”2024年春节文化惠民演出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2024年2月15日:欢欢喜喜过大年玉溪市2024年“四季村晚”示范项目 峨山县富良棚村“春季村晚”演出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地点:峨山县富良棚乡龙都广场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2024年2月15日:【盛世龙腾坡拉坡 响鼓扬花新彝乡】2024年富良棚“开新街”文艺演出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地点:峨山县富良棚乡龙都广场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2024年2月16日:“花鼓飞花 尤腾闹春”塔甸填2024年开新街文化惠民演出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地点:峨山县塔甸镇小草海广场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2024年2月18日:富良棚乡2024年“龙腾贺新春 欢喜迎新年”石板村村委会丫勒街开新街“戏曲进乡村”文化惠民演出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地点:富良棚乡石板村村委会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2024年2月19日:大龙潭乡第十四届彝族花鼓舞比赛暨“龙行龘龘 耀启新岁”大龙潭乡2024年开新街文化惠民演出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地点:峨山县大龙潭乡广场舞台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2024年2月22日:柿红鹅香醉，钢城“柚”你来，峨山彝族自治县化念镇2024年首届果蔬文化美食节文化惠民演出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地点:峨山县化念镇柚木广场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2024年2月23日通海花街节“礼乐花街 融通四海”文艺演出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地点:通海</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2024年2月25日:峨山县新时代文明实践“我们的中国梦 七彩云南情”“我们的节日——元宵节”2024年峨山县“戏曲进乡村”文化惠民演出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地址:峨山县小街街道乐德旧村</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2024年3月8日:2024年峨山县小街街道舍郎社区第二届“草莓节”金融下乡助力乡村振兴暨“戏曲进乡村”文化惠民演出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地址:峨山县小衔街道舍郎社区柏龙箐小组</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2024年3月15~21日:2023—2024云南省城市篮球联赛总决赛助威团文艺表演 (备注:共演出4场)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地址:云南省丽江市体育中心和丽江古城</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2024年3月23日:2024年月亮湾“樱花节”文艺演出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地点:月亮湾休闲农庄</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2024年4月1日:2024年峨山县塔甸镇瓦哨宗“普法强基”专题文艺晚会暨“戏曲进乡村”文化惠民演出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地点:塔甸镇瓦哨宗村委会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2024年4月30日:“礼赞劳动美·奋进新征程”峨山县2024年铸牢中华民族共同体意识暨“五一”国际劳动节文化惠民演出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2024年5月1日:“礼赞劳动美·奋进新征程”峨山县2024年铸牢中华民族共同体意识暨“五一”国际劳动节文化惠民演出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2024年5月2日:“礼赞劳动美·奋进新征程”峨山县2024年铸牢中华民族共同体意识暨“五一”国际劳动节文化惠民演出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2024年5月3日:“礼赞劳动美·奋进新征程”峨山县2024年铸牢中华民族共同体意识暨“五一”国际劳动节文化惠民演出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2024年5月19日:玉溪市2024年“5.19中国旅游日”文化惠民演出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地点：聂耳文化广场舞台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2024年5月20日:玉溪市2024年“百千万文化工程”舞蹈业务培训成果展示暨峨山嶍峨古镇“夏季村晚”展示活动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地点:嶍峨古镇萃秀书院</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2024年5月24日:玉溪市2024年文化馆服务宣传周暨玉溪市文化馆“中国梦 玉溪情”文化惠民演出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地点:聂耳文化广场舞台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2024年5月30日:峨山县机关幼儿园欢庆“六·一”暨文艺“进校园”活动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地点:峨山县机关幼儿园</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2024年6月9日:“热情元江·芒果飘香”中国·元江第二十一届金芒果文化旅游节，迎宾晚会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地点:元江太阳城广场舞台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2024年6月10日:玉溪市2024年“文化和自然遗产日”宣传展示暨“七彩云南·非遗购物节”惠民演出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地点:元江太阳城广场舞台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2024年6月17日:峨山县 2024 年“党的创新理论我来讲”理论宣讲大赛暨文化惠民演出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地点:峨山县法院第一法庭</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2024年6月21日:2024年玉溪市第九届青年演员比赛汇报暨峨山彝族自治县创建文明城市专场文艺演出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地点:峨山县双江二小演播厅</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 xml:space="preserve"> 2024年6月23日:玉溪市2024年“百千万文化工程”暨《玉溪花灯戏》基层业务人员培训班彝族花灯小戏《吃不完》汇报演出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地点:峨山县双江二小演播厅</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2024年6月27日:玉溪市2024年“党的创新理论我来讲”理论宣讲大赛</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地点:玉溪市红塔区委党校</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2024年7月1日:“永远跟党走·奋进新征程”峨山县庆祝2024中国共产党成立103周年文艺演出活动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地点:峨山民族团结广场舞台(第47场)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2024年7月5日:2024年唐古华夏幼儿园“盛夏迎花开 今宵逐未来”文艺汇演</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地点:玉溪聂耳文化广场舞台(第48场)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2024年7月20日:文化绽放彩云南 同心梦圆新时代云南省第六届群众化“彩云奖”评奖及展演活动戏剧类决赛</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地点:临沧市文化馆</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2024年7月20日:文化绽放彩云南 同心梦圆新时代云南省第六届群众文化“彩云奖”评奖及展演活动戏剧类决赛</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地点:临沧市文化馆</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2024年7月21日:云南省第六届群众文化“彩云奖”文化惠民演出（武警临沧支队）</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地点:武警临沧支队</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2024年7月22日:云南省第六届群众文化“彩云奖”评奖及展演活动闭幕式晚会演出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地点:临沧亚洲微电影影院(第52场)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2024年7月28日:峨山县2024年火把节暨第七届彝族花鼓舞艺术节文艺晚会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2024年7月29日:峨山县2024年火把节暨第七届彝族花鼓舞艺术节文艺晚会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地点:峨山民族团结广场舞台(第54场)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2024年9月11日:有一种叫云南的生活——戏曲进乡村 文化惠民生2024年云南省“戏曲进乡村”成果展演系列活动地点:昭通水富市第一中学</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2024年9月12日:有一种叫云南的生活——戏曲进乡村 文化惠民生2024年云南省“戏曲进乡村”成果展演系列活动地点:水富市云富街道邵女坪社区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2024年9月20日:昆明公交“万人游竹海”启动仪式隆重举行，峨山县群众文化工作队文艺“进景区”演出活动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地点:峨山万亩竹海</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2024年9月29日:“有一种叫云南的生活——首届云南民歌大家跳”玉溪专场活动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地点:玉溪市聂耳音乐广场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2024年9月30日:“有一种叫云南的生活——首届云南舞蹈大家跳”玉溪专场活动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地点:玉溪市聂耳音乐广场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2024年9月30日:“有一种叫云南的生活——首届云南舞蹈大家跳”玉溪专场展演颁奖晚会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地点:玉溪市聂耳音乐广场中心舞台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2024年10月1日:玉溪市庆祝中华人民共和国成立75周年升旗仪式演出活动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地点:玉溪市聂耳音乐广场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2024年10月1日:“七十五载赞盛世 接续奋斗展风华”——峨山县庆祝中华人民共和国成立75周年主题文艺晚会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2024年10月6日“有一种叫云南的生活——云南舞蹈大家跳、云南民歌大家唱”——峨山县庆祝中华人民共和国成立75周年文化惠民(戏曲专场)演出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2024年10月16日:有一种叫云南的生活·第十届云南省花灯滇剧艺术周剧（节）目展演</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地点：陆良县爨文化广场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2024年10月22日:“文化绽放彩云南，同心梦圆新时代”云南省第六届群众文化“彩云奖”获奖节目集中展演展示活动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地点:昆明市·春城剧院(第65场)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2024年10月26日:“情定劲旅·逐梦强军”中国人民解放军31637部队集体婚礼暨文艺“进军营”演出活动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地点:玉溪市北城驻军营区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2024年11月13日:"军民一家亲  共筑强军梦”慰问演出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地点:通海县驻军营区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2024年11月14日:峨山县锦屏中学第29届体艺节暨2024年冬季运动会</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地点:峨山县锦屏中学</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2024年11月21日:第三届云南民族戏剧展演</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地点:楚雄彝族自治州民族艺术剧院</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2024年11月30日:“行走嶍峨  多彩非遗”玉溪市非物质文化遗产保护传承示范基地展演展示系列活动</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2024年12月7日:玉溪市非物质文化遗产保护传承示范基地展演展示系列活动暨文化惠民演出</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地点:峨山县嶍峨古镇舞台</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2024年12月13日:“行走嶍峨  多彩非遗”玉溪市非物质文化遗产保护传承示范基地峨山彝族小戏传习展示暨非遗公开课</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地点:峨山县嶍峨古镇舞台(第72场)</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宋体" w:eastAsia="仿宋_GB2312" w:cs="Arial"/>
          <w:kern w:val="0"/>
          <w:sz w:val="30"/>
          <w:szCs w:val="30"/>
          <w:highlight w:val="none"/>
        </w:rPr>
      </w:pPr>
    </w:p>
    <w:p>
      <w:pPr>
        <w:keepNext w:val="0"/>
        <w:keepLines w:val="0"/>
        <w:pageBreakBefore w:val="0"/>
        <w:kinsoku/>
        <w:overflowPunct/>
        <w:topLinePunct w:val="0"/>
        <w:bidi w:val="0"/>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keepNext w:val="0"/>
        <w:keepLines w:val="0"/>
        <w:pageBreakBefore w:val="0"/>
        <w:kinsoku/>
        <w:overflowPunct/>
        <w:topLinePunct w:val="0"/>
        <w:bidi w:val="0"/>
        <w:spacing w:line="590" w:lineRule="exact"/>
        <w:ind w:firstLine="600" w:firstLineChars="200"/>
        <w:jc w:val="center"/>
        <w:textAlignment w:val="auto"/>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val="zh-CN" w:eastAsia="zh-CN"/>
        </w:rPr>
      </w:pPr>
      <w:r>
        <w:rPr>
          <w:rFonts w:hint="eastAsia" w:ascii="仿宋_GB2312" w:hAnsi="宋体" w:eastAsia="仿宋_GB2312" w:cs="Arial"/>
          <w:kern w:val="0"/>
          <w:sz w:val="30"/>
          <w:szCs w:val="30"/>
          <w:highlight w:val="none"/>
          <w:lang w:val="zh-CN" w:eastAsia="zh-CN"/>
        </w:rPr>
        <w:t>峨山彝族自治县</w:t>
      </w:r>
      <w:r>
        <w:rPr>
          <w:rFonts w:hint="eastAsia" w:ascii="仿宋_GB2312" w:hAnsi="宋体" w:eastAsia="仿宋_GB2312" w:cs="Arial"/>
          <w:kern w:val="0"/>
          <w:sz w:val="30"/>
          <w:szCs w:val="30"/>
          <w:highlight w:val="none"/>
          <w:lang w:eastAsia="zh-CN"/>
        </w:rPr>
        <w:t>群众文化工作队</w:t>
      </w:r>
      <w:r>
        <w:rPr>
          <w:rFonts w:hint="eastAsia" w:ascii="仿宋_GB2312" w:hAnsi="宋体" w:eastAsia="仿宋_GB2312" w:cs="Arial"/>
          <w:kern w:val="0"/>
          <w:sz w:val="30"/>
          <w:szCs w:val="30"/>
          <w:highlight w:val="none"/>
          <w:lang w:val="zh-CN" w:eastAsia="zh-CN"/>
        </w:rPr>
        <w:t>没有政府性基金收入，也没有使用政府性基金安排的支出，故《政府性基金预算财政拨款收入支出决算表》无数据。</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lang w:val="zh-CN" w:eastAsia="zh-CN"/>
        </w:rPr>
      </w:pPr>
      <w:r>
        <w:rPr>
          <w:rFonts w:hint="eastAsia" w:ascii="仿宋_GB2312" w:hAnsi="宋体" w:eastAsia="仿宋_GB2312" w:cs="Arial"/>
          <w:kern w:val="0"/>
          <w:sz w:val="30"/>
          <w:szCs w:val="30"/>
          <w:highlight w:val="none"/>
          <w:lang w:val="zh-CN" w:eastAsia="zh-CN"/>
        </w:rPr>
        <w:t>峨山彝族自治县</w:t>
      </w:r>
      <w:r>
        <w:rPr>
          <w:rFonts w:hint="eastAsia" w:ascii="仿宋_GB2312" w:hAnsi="宋体" w:eastAsia="仿宋_GB2312" w:cs="Arial"/>
          <w:kern w:val="0"/>
          <w:sz w:val="30"/>
          <w:szCs w:val="30"/>
          <w:highlight w:val="none"/>
          <w:lang w:eastAsia="zh-CN"/>
        </w:rPr>
        <w:t>群众文化工作队</w:t>
      </w:r>
      <w:r>
        <w:rPr>
          <w:rFonts w:hint="eastAsia" w:ascii="仿宋_GB2312" w:hAnsi="宋体" w:eastAsia="仿宋_GB2312" w:cs="Arial"/>
          <w:kern w:val="0"/>
          <w:sz w:val="30"/>
          <w:szCs w:val="30"/>
          <w:highlight w:val="none"/>
          <w:lang w:val="zh-CN" w:eastAsia="zh-CN"/>
        </w:rPr>
        <w:t>没有国有资本经营收入，也没有使用国有资本经营安排的支出，故《国有资本经营预算财政拨款收入支出决算表》无数据。</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eastAsia="仿宋_GB2312"/>
          <w:sz w:val="30"/>
          <w:szCs w:val="30"/>
          <w:highlight w:val="none"/>
          <w:lang w:eastAsia="zh-CN"/>
        </w:rPr>
      </w:pPr>
    </w:p>
    <w:p>
      <w:pPr>
        <w:keepNext w:val="0"/>
        <w:keepLines w:val="0"/>
        <w:pageBreakBefore w:val="0"/>
        <w:kinsoku/>
        <w:overflowPunct/>
        <w:topLinePunct w:val="0"/>
        <w:bidi w:val="0"/>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一、收入决算情况说明</w:t>
      </w:r>
    </w:p>
    <w:p>
      <w:pPr>
        <w:keepNext w:val="0"/>
        <w:keepLines w:val="0"/>
        <w:pageBreakBefore w:val="0"/>
        <w:widowControl/>
        <w:kinsoku/>
        <w:overflowPunct/>
        <w:topLinePunct w:val="0"/>
        <w:bidi w:val="0"/>
        <w:snapToGrid w:val="0"/>
        <w:spacing w:before="100" w:after="100" w:line="590" w:lineRule="exact"/>
        <w:ind w:firstLine="538"/>
        <w:jc w:val="left"/>
        <w:textAlignment w:val="auto"/>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峨山彝族自治县群众文化工作队</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w:t>
      </w:r>
      <w:r>
        <w:rPr>
          <w:rFonts w:hint="eastAsia" w:ascii="仿宋_GB2312" w:eastAsia="仿宋_GB2312"/>
          <w:sz w:val="30"/>
          <w:szCs w:val="30"/>
          <w:highlight w:val="none"/>
          <w:lang w:val="en-US" w:eastAsia="zh-CN"/>
        </w:rPr>
        <w:t>计</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586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103.02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586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103.02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p>
    <w:p>
      <w:pPr>
        <w:keepNext w:val="0"/>
        <w:keepLines w:val="0"/>
        <w:pageBreakBefore w:val="0"/>
        <w:widowControl/>
        <w:kinsoku/>
        <w:overflowPunct/>
        <w:topLinePunct w:val="0"/>
        <w:bidi w:val="0"/>
        <w:snapToGrid w:val="0"/>
        <w:spacing w:before="100" w:after="100" w:line="590" w:lineRule="exact"/>
        <w:ind w:firstLine="538"/>
        <w:jc w:val="left"/>
        <w:textAlignment w:val="auto"/>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95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408.69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95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408.69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；事业收入增加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；附属单位上缴收入增加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；其他收入增加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人员变动。</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二、支出决算情况说明</w:t>
      </w:r>
    </w:p>
    <w:p>
      <w:pPr>
        <w:keepNext w:val="0"/>
        <w:keepLines w:val="0"/>
        <w:pageBreakBefore w:val="0"/>
        <w:kinsoku/>
        <w:overflowPunct/>
        <w:topLinePunct w:val="0"/>
        <w:bidi w:val="0"/>
        <w:spacing w:line="590" w:lineRule="exact"/>
        <w:ind w:firstLine="600" w:firstLineChars="200"/>
        <w:textAlignment w:val="auto"/>
        <w:rPr>
          <w:rFonts w:hint="eastAsia" w:ascii="仿宋_GB2312" w:hAnsi="宋体" w:eastAsia="仿宋_GB2312" w:cs="Arial"/>
          <w:kern w:val="0"/>
          <w:sz w:val="30"/>
          <w:szCs w:val="30"/>
          <w:highlight w:val="none"/>
        </w:rPr>
      </w:pPr>
      <w:r>
        <w:rPr>
          <w:rFonts w:hint="eastAsia" w:ascii="仿宋_GB2312" w:hAnsi="Times New Roman" w:eastAsia="仿宋_GB2312" w:cs="Times New Roman"/>
          <w:sz w:val="30"/>
          <w:szCs w:val="30"/>
          <w:highlight w:val="none"/>
          <w:lang w:val="zh-CN" w:eastAsia="zh-CN"/>
        </w:rPr>
        <w:t>峨山彝族自治县群众文化工作队</w:t>
      </w: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lang w:eastAsia="zh-CN"/>
        </w:rPr>
        <w:t>年度支出合计</w:t>
      </w:r>
      <w:r>
        <w:rPr>
          <w:rFonts w:hint="eastAsia" w:ascii="仿宋_GB2312" w:hAnsi="Times New Roman" w:eastAsia="仿宋_GB2312" w:cs="Times New Roman"/>
          <w:sz w:val="30"/>
          <w:szCs w:val="30"/>
          <w:highlight w:val="none"/>
          <w:lang w:val="zh-CN" w:eastAsia="zh-CN"/>
        </w:rPr>
        <w:t>3</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zh-CN" w:eastAsia="zh-CN"/>
        </w:rPr>
        <w:t>586</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zh-CN" w:eastAsia="zh-CN"/>
        </w:rPr>
        <w:t>103.02</w:t>
      </w:r>
      <w:r>
        <w:rPr>
          <w:rFonts w:hint="eastAsia" w:ascii="仿宋_GB2312" w:hAnsi="Times New Roman" w:eastAsia="仿宋_GB2312" w:cs="Times New Roman"/>
          <w:sz w:val="30"/>
          <w:szCs w:val="30"/>
          <w:highlight w:val="none"/>
          <w:lang w:eastAsia="zh-CN"/>
        </w:rPr>
        <w:t>元。其中：基本支出</w:t>
      </w:r>
      <w:r>
        <w:rPr>
          <w:rFonts w:hint="eastAsia" w:ascii="仿宋_GB2312" w:hAnsi="Times New Roman" w:eastAsia="仿宋_GB2312" w:cs="Times New Roman"/>
          <w:sz w:val="30"/>
          <w:szCs w:val="30"/>
          <w:highlight w:val="none"/>
          <w:lang w:val="zh-CN" w:eastAsia="zh-CN"/>
        </w:rPr>
        <w:t>3</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zh-CN" w:eastAsia="zh-CN"/>
        </w:rPr>
        <w:t>516</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zh-CN" w:eastAsia="zh-CN"/>
        </w:rPr>
        <w:t>103.02</w:t>
      </w:r>
      <w:r>
        <w:rPr>
          <w:rFonts w:hint="eastAsia" w:ascii="仿宋_GB2312" w:hAnsi="Times New Roman" w:eastAsia="仿宋_GB2312" w:cs="Times New Roman"/>
          <w:sz w:val="30"/>
          <w:szCs w:val="30"/>
          <w:highlight w:val="none"/>
          <w:lang w:eastAsia="zh-CN"/>
        </w:rPr>
        <w:t>元，占总支出的</w:t>
      </w:r>
      <w:r>
        <w:rPr>
          <w:rFonts w:hint="eastAsia" w:ascii="仿宋_GB2312" w:hAnsi="Times New Roman" w:eastAsia="仿宋_GB2312" w:cs="Times New Roman"/>
          <w:sz w:val="30"/>
          <w:szCs w:val="30"/>
          <w:highlight w:val="none"/>
          <w:lang w:val="zh-CN" w:eastAsia="zh-CN"/>
        </w:rPr>
        <w:t>98.05</w:t>
      </w:r>
      <w:r>
        <w:rPr>
          <w:rFonts w:hint="eastAsia" w:ascii="仿宋_GB2312" w:hAnsi="Times New Roman" w:eastAsia="仿宋_GB2312" w:cs="Times New Roman"/>
          <w:sz w:val="30"/>
          <w:szCs w:val="30"/>
          <w:highlight w:val="none"/>
          <w:lang w:eastAsia="zh-CN"/>
        </w:rPr>
        <w:t>％；项目支出</w:t>
      </w:r>
      <w:r>
        <w:rPr>
          <w:rFonts w:hint="eastAsia" w:ascii="仿宋_GB2312" w:hAnsi="Times New Roman" w:eastAsia="仿宋_GB2312" w:cs="Times New Roman"/>
          <w:sz w:val="30"/>
          <w:szCs w:val="30"/>
          <w:highlight w:val="none"/>
          <w:lang w:val="zh-CN" w:eastAsia="zh-CN"/>
        </w:rPr>
        <w:t>70</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zh-CN" w:eastAsia="zh-CN"/>
        </w:rPr>
        <w:t>000.00</w:t>
      </w:r>
      <w:r>
        <w:rPr>
          <w:rFonts w:hint="eastAsia" w:ascii="仿宋_GB2312" w:hAnsi="Times New Roman" w:eastAsia="仿宋_GB2312" w:cs="Times New Roman"/>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1.95</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pPr>
        <w:keepNext w:val="0"/>
        <w:keepLines w:val="0"/>
        <w:pageBreakBefore w:val="0"/>
        <w:kinsoku/>
        <w:overflowPunct/>
        <w:topLinePunct w:val="0"/>
        <w:autoSpaceDE w:val="0"/>
        <w:autoSpaceDN w:val="0"/>
        <w:bidi w:val="0"/>
        <w:spacing w:line="590" w:lineRule="exact"/>
        <w:ind w:firstLine="600" w:firstLineChars="200"/>
        <w:contextualSpacing/>
        <w:jc w:val="both"/>
        <w:textAlignment w:val="auto"/>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95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408.69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130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408.69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3.58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35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w:t>
      </w:r>
      <w:r>
        <w:rPr>
          <w:rFonts w:hint="default" w:ascii="仿宋_GB2312" w:hAnsi="Times New Roman" w:eastAsia="仿宋_GB2312" w:cs="Times New Roman"/>
          <w:sz w:val="30"/>
          <w:szCs w:val="30"/>
          <w:highlight w:val="none"/>
        </w:rPr>
        <w:t>本年</w:t>
      </w:r>
      <w:r>
        <w:rPr>
          <w:rFonts w:hint="eastAsia" w:ascii="仿宋_GB2312" w:hAnsi="Times New Roman" w:eastAsia="仿宋_GB2312" w:cs="Times New Roman"/>
          <w:sz w:val="30"/>
          <w:szCs w:val="30"/>
          <w:highlight w:val="none"/>
          <w:lang w:val="en-US" w:eastAsia="zh-CN"/>
        </w:rPr>
        <w:t>退休一</w:t>
      </w:r>
      <w:r>
        <w:rPr>
          <w:rFonts w:hint="eastAsia" w:ascii="仿宋_GB2312" w:hAnsi="Times New Roman" w:eastAsia="仿宋_GB2312" w:cs="Times New Roman"/>
          <w:sz w:val="30"/>
          <w:szCs w:val="30"/>
          <w:highlight w:val="none"/>
        </w:rPr>
        <w:t>名事业人员</w:t>
      </w:r>
      <w:r>
        <w:rPr>
          <w:rFonts w:hint="default" w:ascii="仿宋_GB2312" w:hAnsi="Times New Roman" w:eastAsia="仿宋_GB2312" w:cs="Times New Roman"/>
          <w:sz w:val="30"/>
          <w:szCs w:val="30"/>
          <w:highlight w:val="none"/>
        </w:rPr>
        <w:t>，人员费用支出</w:t>
      </w:r>
      <w:r>
        <w:rPr>
          <w:rFonts w:hint="eastAsia" w:ascii="仿宋_GB2312" w:hAnsi="Times New Roman" w:eastAsia="仿宋_GB2312" w:cs="Times New Roman"/>
          <w:sz w:val="30"/>
          <w:szCs w:val="30"/>
          <w:highlight w:val="none"/>
          <w:lang w:val="en-US" w:eastAsia="zh-CN"/>
        </w:rPr>
        <w:t>减少</w:t>
      </w:r>
      <w:r>
        <w:rPr>
          <w:rFonts w:hint="default" w:ascii="仿宋_GB2312" w:hAnsi="Times New Roman" w:eastAsia="仿宋_GB2312" w:cs="Times New Roman"/>
          <w:sz w:val="30"/>
          <w:szCs w:val="30"/>
          <w:highlight w:val="none"/>
        </w:rPr>
        <w:t>；项目支出增加用于文艺创作演出。</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outlineLvl w:val="2"/>
        <w:rPr>
          <w:rFonts w:hint="eastAsia" w:ascii="楷体" w:hAnsi="楷体" w:eastAsia="楷体"/>
          <w:sz w:val="30"/>
          <w:szCs w:val="30"/>
          <w:highlight w:val="none"/>
        </w:rPr>
      </w:pP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（一）基本支出情况</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峨山彝族自治县群众文化工作队</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516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103.02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503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905.84</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99.65</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12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197.18</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0.35</w:t>
      </w:r>
      <w:r>
        <w:rPr>
          <w:rFonts w:hint="eastAsia" w:ascii="仿宋_GB2312" w:hAnsi="仿宋_GB2312" w:eastAsia="仿宋_GB2312" w:cs="仿宋_GB2312"/>
          <w:sz w:val="30"/>
          <w:szCs w:val="30"/>
          <w:highlight w:val="none"/>
        </w:rPr>
        <w:t>％。</w:t>
      </w: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峨山彝族自治县群众文化工作队</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70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惠民演出</w:t>
      </w:r>
      <w:r>
        <w:rPr>
          <w:rFonts w:hint="eastAsia" w:ascii="仿宋_GB2312" w:hAnsi="Times New Roman" w:eastAsia="仿宋_GB2312" w:cs="Times New Roman"/>
          <w:sz w:val="30"/>
          <w:szCs w:val="30"/>
          <w:highlight w:val="none"/>
        </w:rPr>
        <w:t>项目经费</w:t>
      </w:r>
      <w:r>
        <w:rPr>
          <w:rFonts w:hint="eastAsia" w:ascii="仿宋_GB2312" w:hAnsi="Times New Roman" w:eastAsia="仿宋_GB2312" w:cs="Times New Roman"/>
          <w:sz w:val="30"/>
          <w:szCs w:val="30"/>
          <w:highlight w:val="none"/>
          <w:lang w:val="en-US" w:eastAsia="zh-CN"/>
        </w:rPr>
        <w:t>20,000.00</w:t>
      </w:r>
      <w:r>
        <w:rPr>
          <w:rFonts w:hint="eastAsia" w:ascii="仿宋_GB2312" w:hAnsi="Times New Roman" w:eastAsia="仿宋_GB2312" w:cs="Times New Roman"/>
          <w:sz w:val="30"/>
          <w:szCs w:val="30"/>
          <w:highlight w:val="none"/>
        </w:rPr>
        <w:t>元，主要用于玉财教〔</w:t>
      </w:r>
      <w:r>
        <w:rPr>
          <w:rFonts w:hint="default" w:ascii="仿宋_GB2312" w:hAnsi="Times New Roman" w:eastAsia="仿宋_GB2312" w:cs="Times New Roman"/>
          <w:sz w:val="30"/>
          <w:szCs w:val="30"/>
          <w:highlight w:val="none"/>
        </w:rPr>
        <w:t>20</w:t>
      </w:r>
      <w:r>
        <w:rPr>
          <w:rFonts w:hint="eastAsia" w:ascii="仿宋_GB2312" w:hAnsi="Times New Roman" w:eastAsia="仿宋_GB2312" w:cs="Times New Roman"/>
          <w:sz w:val="30"/>
          <w:szCs w:val="30"/>
          <w:highlight w:val="none"/>
          <w:lang w:val="en-US" w:eastAsia="zh-CN"/>
        </w:rPr>
        <w:t>23</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182</w:t>
      </w:r>
      <w:r>
        <w:rPr>
          <w:rFonts w:hint="eastAsia" w:ascii="仿宋_GB2312" w:hAnsi="Times New Roman" w:eastAsia="仿宋_GB2312" w:cs="Times New Roman"/>
          <w:sz w:val="30"/>
          <w:szCs w:val="30"/>
          <w:highlight w:val="none"/>
        </w:rPr>
        <w:t>号</w:t>
      </w:r>
      <w:r>
        <w:rPr>
          <w:rFonts w:hint="eastAsia" w:ascii="仿宋_GB2312" w:hAnsi="Times New Roman" w:eastAsia="仿宋_GB2312" w:cs="Times New Roman"/>
          <w:sz w:val="30"/>
          <w:szCs w:val="30"/>
          <w:highlight w:val="none"/>
          <w:lang w:val="en-US" w:eastAsia="zh-CN"/>
        </w:rPr>
        <w:t>2023年惠民演出经费项目20,000.00元；</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00" w:firstLineChars="200"/>
        <w:jc w:val="left"/>
        <w:textAlignment w:val="auto"/>
        <w:rPr>
          <w:rFonts w:hint="default" w:ascii="仿宋_GB2312" w:hAnsi="Times New Roman" w:eastAsia="仿宋_GB2312" w:cs="Times New Roman"/>
          <w:sz w:val="30"/>
          <w:szCs w:val="30"/>
          <w:highlight w:val="none"/>
          <w:lang w:val="en-US" w:eastAsia="zh-CN"/>
        </w:rPr>
      </w:pPr>
      <w:r>
        <w:rPr>
          <w:rFonts w:hint="eastAsia" w:ascii="仿宋_GB2312" w:eastAsia="仿宋_GB2312" w:cs="Times New Roman"/>
          <w:sz w:val="30"/>
          <w:szCs w:val="30"/>
          <w:highlight w:val="none"/>
          <w:lang w:val="en-US" w:eastAsia="zh-CN"/>
        </w:rPr>
        <w:t>第十九届</w:t>
      </w:r>
      <w:r>
        <w:rPr>
          <w:rFonts w:hint="eastAsia" w:ascii="仿宋_GB2312" w:hAnsi="Times New Roman" w:eastAsia="仿宋_GB2312" w:cs="Times New Roman"/>
          <w:sz w:val="30"/>
          <w:szCs w:val="30"/>
          <w:highlight w:val="none"/>
          <w:lang w:eastAsia="zh-CN"/>
        </w:rPr>
        <w:t>“</w:t>
      </w:r>
      <w:r>
        <w:rPr>
          <w:rFonts w:hint="eastAsia" w:ascii="仿宋_GB2312" w:eastAsia="仿宋_GB2312" w:cs="Times New Roman"/>
          <w:sz w:val="30"/>
          <w:szCs w:val="30"/>
          <w:highlight w:val="none"/>
          <w:lang w:val="en-US" w:eastAsia="zh-CN"/>
        </w:rPr>
        <w:t>群星奖</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项目经费</w:t>
      </w:r>
      <w:r>
        <w:rPr>
          <w:rFonts w:hint="eastAsia" w:ascii="仿宋_GB2312" w:hAnsi="Times New Roman" w:eastAsia="仿宋_GB2312" w:cs="Times New Roman"/>
          <w:sz w:val="30"/>
          <w:szCs w:val="30"/>
          <w:highlight w:val="none"/>
          <w:lang w:val="en-US" w:eastAsia="zh-CN"/>
        </w:rPr>
        <w:t>50,000.00</w:t>
      </w:r>
      <w:r>
        <w:rPr>
          <w:rFonts w:hint="eastAsia" w:ascii="仿宋_GB2312" w:hAnsi="Times New Roman" w:eastAsia="仿宋_GB2312" w:cs="Times New Roman"/>
          <w:sz w:val="30"/>
          <w:szCs w:val="30"/>
          <w:highlight w:val="none"/>
        </w:rPr>
        <w:t>元，主要用于玉财教〔</w:t>
      </w:r>
      <w:r>
        <w:rPr>
          <w:rFonts w:hint="default" w:ascii="仿宋_GB2312" w:hAnsi="Times New Roman" w:eastAsia="仿宋_GB2312" w:cs="Times New Roman"/>
          <w:sz w:val="30"/>
          <w:szCs w:val="30"/>
          <w:highlight w:val="none"/>
        </w:rPr>
        <w:t>20</w:t>
      </w:r>
      <w:r>
        <w:rPr>
          <w:rFonts w:hint="eastAsia" w:ascii="仿宋_GB2312" w:hAnsi="Times New Roman" w:eastAsia="仿宋_GB2312" w:cs="Times New Roman"/>
          <w:sz w:val="30"/>
          <w:szCs w:val="30"/>
          <w:highlight w:val="none"/>
          <w:lang w:val="en-US" w:eastAsia="zh-CN"/>
        </w:rPr>
        <w:t>24</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val="en-US" w:eastAsia="zh-CN"/>
        </w:rPr>
        <w:t>137</w:t>
      </w:r>
      <w:r>
        <w:rPr>
          <w:rFonts w:hint="eastAsia" w:ascii="仿宋_GB2312" w:hAnsi="Times New Roman" w:eastAsia="仿宋_GB2312" w:cs="Times New Roman"/>
          <w:sz w:val="30"/>
          <w:szCs w:val="30"/>
          <w:highlight w:val="none"/>
        </w:rPr>
        <w:t>号</w:t>
      </w:r>
      <w:r>
        <w:rPr>
          <w:rFonts w:hint="eastAsia" w:ascii="仿宋_GB2312" w:hAnsi="Times New Roman" w:eastAsia="仿宋_GB2312" w:cs="Times New Roman"/>
          <w:sz w:val="30"/>
          <w:szCs w:val="30"/>
          <w:highlight w:val="none"/>
          <w:lang w:val="en-US" w:eastAsia="zh-CN"/>
        </w:rPr>
        <w:t>2024年第十九届“群星奖”入围决赛作品补助经费。</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三、一般公共预算财政拨款支出决算情况说明</w:t>
      </w:r>
    </w:p>
    <w:p>
      <w:pPr>
        <w:keepNext w:val="0"/>
        <w:keepLines w:val="0"/>
        <w:pageBreakBefore w:val="0"/>
        <w:kinsoku/>
        <w:overflowPunct/>
        <w:topLinePunct w:val="0"/>
        <w:bidi w:val="0"/>
        <w:spacing w:line="590" w:lineRule="exact"/>
        <w:ind w:firstLine="640" w:firstLineChars="200"/>
        <w:textAlignment w:val="auto"/>
        <w:outlineLvl w:val="2"/>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（一）一般公共预算财政拨款支出决算总体情况</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峨山彝族自治县群众文化工作队</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3</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586</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103.02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95</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408.69</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2.59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88.08</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outlineLvl w:val="2"/>
        <w:rPr>
          <w:rFonts w:hint="eastAsia" w:ascii="楷体" w:hAnsi="楷体" w:eastAsia="楷体"/>
          <w:sz w:val="30"/>
          <w:szCs w:val="30"/>
          <w:highlight w:val="none"/>
        </w:rPr>
      </w:pPr>
      <w:r>
        <w:rPr>
          <w:rFonts w:hint="eastAsia" w:ascii="楷体" w:hAnsi="楷体" w:eastAsia="楷体"/>
          <w:sz w:val="32"/>
          <w:szCs w:val="32"/>
          <w:highlight w:val="none"/>
          <w:lang w:eastAsia="zh-CN"/>
        </w:rPr>
        <w:t>（二）一般公共预算财政拨款支出决算分功能分类科目情况</w:t>
      </w:r>
      <w:r>
        <w:rPr>
          <w:rFonts w:hint="eastAsia" w:ascii="楷体" w:hAnsi="楷体" w:eastAsia="楷体"/>
          <w:sz w:val="30"/>
          <w:szCs w:val="30"/>
          <w:highlight w:val="none"/>
        </w:rPr>
        <w:tab/>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lang w:val="en-US" w:eastAsia="zh-CN"/>
        </w:rPr>
        <w:t>1</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.一般公共服务（类）支出</w:t>
      </w:r>
      <w:r>
        <w:rPr>
          <w:rFonts w:hint="eastAsia" w:ascii="仿宋_GB2312" w:hAnsi="仿宋_GB2312" w:eastAsia="仿宋_GB2312" w:cs="仿宋_GB2312"/>
          <w:color w:val="auto"/>
          <w:kern w:val="0"/>
          <w:sz w:val="32"/>
          <w:szCs w:val="32"/>
          <w:lang w:val="zh-CN"/>
        </w:rPr>
        <w:t>20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000.00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仿宋_GB2312" w:hAnsi="仿宋_GB2312" w:eastAsia="仿宋_GB2312" w:cs="仿宋_GB2312"/>
          <w:color w:val="auto"/>
          <w:kern w:val="0"/>
          <w:sz w:val="32"/>
          <w:szCs w:val="32"/>
          <w:lang w:val="zh-CN"/>
        </w:rPr>
        <w:t>0.56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仿宋_GB2312" w:hAnsi="仿宋_GB2312" w:eastAsia="仿宋_GB2312" w:cs="仿宋_GB2312"/>
          <w:color w:val="auto"/>
          <w:kern w:val="0"/>
          <w:sz w:val="32"/>
          <w:szCs w:val="32"/>
          <w:lang w:val="zh-CN"/>
        </w:rPr>
        <w:t>0.00</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hint="eastAsia" w:ascii="仿宋_GB2312" w:hAnsi="宋体" w:eastAsia="仿宋_GB2312" w:cs="Arial"/>
          <w:kern w:val="0"/>
          <w:sz w:val="32"/>
          <w:szCs w:val="32"/>
          <w:highlight w:val="none"/>
        </w:rPr>
        <w:t>主要用于</w:t>
      </w:r>
      <w:r>
        <w:rPr>
          <w:rFonts w:hint="eastAsia" w:ascii="仿宋_GB2312" w:hAnsi="宋体" w:eastAsia="仿宋_GB2312" w:cs="Arial"/>
          <w:kern w:val="0"/>
          <w:sz w:val="32"/>
          <w:szCs w:val="32"/>
          <w:highlight w:val="none"/>
          <w:lang w:val="en-US" w:eastAsia="zh-CN"/>
        </w:rPr>
        <w:t>2023年惠民演出经费</w:t>
      </w:r>
      <w:r>
        <w:rPr>
          <w:rFonts w:hint="eastAsia" w:ascii="仿宋_GB2312" w:hAnsi="宋体" w:eastAsia="仿宋_GB2312" w:cs="Arial"/>
          <w:kern w:val="0"/>
          <w:sz w:val="32"/>
          <w:szCs w:val="32"/>
          <w:highlight w:val="none"/>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eastAsia="zh-CN"/>
        </w:rPr>
        <w:t>（2）.外交（类）支出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lang w:val="en-US" w:eastAsia="zh-CN"/>
        </w:rPr>
        <w:t>3</w:t>
      </w:r>
      <w:r>
        <w:rPr>
          <w:rFonts w:hint="eastAsia" w:ascii="仿宋_GB2312" w:hAnsi="宋体" w:eastAsia="仿宋_GB2312" w:cs="Arial"/>
          <w:kern w:val="0"/>
          <w:sz w:val="32"/>
          <w:szCs w:val="32"/>
          <w:highlight w:val="none"/>
          <w:lang w:eastAsia="zh-CN"/>
        </w:rPr>
        <w:t>）.国防（类）支出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lang w:val="en-US" w:eastAsia="zh-CN"/>
        </w:rPr>
        <w:t>4</w:t>
      </w:r>
      <w:r>
        <w:rPr>
          <w:rFonts w:hint="eastAsia" w:ascii="仿宋_GB2312" w:hAnsi="宋体" w:eastAsia="仿宋_GB2312" w:cs="Arial"/>
          <w:kern w:val="0"/>
          <w:sz w:val="32"/>
          <w:szCs w:val="32"/>
          <w:highlight w:val="none"/>
          <w:lang w:eastAsia="zh-CN"/>
        </w:rPr>
        <w:t>）.公共安全（类）支出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（5）.教育（类）支出0.00元，占一般公共预算财政拨款总支出的0.00%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（6）.科学技术（类）支出0.00元，占一般公共预算财政拨款总支出的0.00%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val="en-US" w:eastAsia="zh-CN"/>
        </w:rPr>
      </w:pPr>
      <w:r>
        <w:rPr>
          <w:rFonts w:hint="eastAsia" w:ascii="仿宋_GB2312" w:hAnsi="宋体" w:eastAsia="仿宋_GB2312" w:cs="Arial"/>
          <w:kern w:val="0"/>
          <w:sz w:val="32"/>
          <w:szCs w:val="32"/>
          <w:highlight w:val="none"/>
          <w:lang w:val="en-US" w:eastAsia="zh-CN"/>
        </w:rPr>
        <w:t>（7）.文化旅游体育与传媒（类）支出2,835,012.94元，占一般公共预算财政拨款总支出的79.06%</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95.75</w:t>
      </w:r>
      <w:r>
        <w:rPr>
          <w:rFonts w:hint="eastAsia"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lang w:eastAsia="zh-CN"/>
        </w:rPr>
        <w:t>。主要用于</w:t>
      </w:r>
      <w:r>
        <w:rPr>
          <w:rFonts w:hint="eastAsia" w:ascii="仿宋_GB2312" w:hAnsi="宋体" w:eastAsia="仿宋_GB2312" w:cs="Arial"/>
          <w:kern w:val="0"/>
          <w:sz w:val="32"/>
          <w:szCs w:val="32"/>
          <w:highlight w:val="none"/>
          <w:lang w:val="en-US" w:eastAsia="zh-CN"/>
        </w:rPr>
        <w:t>工资福利支出</w:t>
      </w:r>
      <w:r>
        <w:rPr>
          <w:rFonts w:hint="default" w:ascii="仿宋_GB2312" w:hAnsi="宋体" w:eastAsia="仿宋_GB2312" w:cs="Arial"/>
          <w:kern w:val="0"/>
          <w:sz w:val="32"/>
          <w:szCs w:val="32"/>
          <w:highlight w:val="none"/>
          <w:lang w:val="en-US" w:eastAsia="zh-CN"/>
        </w:rPr>
        <w:t>2,783,104</w:t>
      </w:r>
      <w:r>
        <w:rPr>
          <w:rFonts w:hint="eastAsia" w:ascii="仿宋_GB2312" w:hAnsi="宋体" w:eastAsia="仿宋_GB2312" w:cs="Arial"/>
          <w:kern w:val="0"/>
          <w:sz w:val="32"/>
          <w:szCs w:val="32"/>
          <w:highlight w:val="none"/>
          <w:lang w:val="en-US" w:eastAsia="zh-CN"/>
        </w:rPr>
        <w:t>.</w:t>
      </w:r>
      <w:r>
        <w:rPr>
          <w:rFonts w:hint="default" w:ascii="仿宋_GB2312" w:hAnsi="宋体" w:eastAsia="仿宋_GB2312" w:cs="Arial"/>
          <w:kern w:val="0"/>
          <w:sz w:val="32"/>
          <w:szCs w:val="32"/>
          <w:highlight w:val="none"/>
          <w:lang w:val="en-US" w:eastAsia="zh-CN"/>
        </w:rPr>
        <w:t>88</w:t>
      </w:r>
      <w:r>
        <w:rPr>
          <w:rFonts w:hint="eastAsia" w:ascii="仿宋_GB2312" w:hAnsi="宋体" w:eastAsia="仿宋_GB2312" w:cs="Arial"/>
          <w:kern w:val="0"/>
          <w:sz w:val="32"/>
          <w:szCs w:val="32"/>
          <w:highlight w:val="none"/>
          <w:lang w:val="en-US" w:eastAsia="zh-CN"/>
        </w:rPr>
        <w:t>元</w:t>
      </w:r>
      <w:r>
        <w:rPr>
          <w:rFonts w:hint="default"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lang w:val="en-US" w:eastAsia="zh-CN"/>
        </w:rPr>
        <w:t>其中：基本工资1,096,392.00元，津贴补贴120,975.00元，绩效工资</w:t>
      </w:r>
      <w:r>
        <w:rPr>
          <w:rFonts w:hint="default" w:ascii="仿宋_GB2312" w:hAnsi="宋体" w:eastAsia="仿宋_GB2312" w:cs="Arial"/>
          <w:kern w:val="0"/>
          <w:sz w:val="32"/>
          <w:szCs w:val="32"/>
          <w:highlight w:val="none"/>
          <w:lang w:val="en-US" w:eastAsia="zh-CN"/>
        </w:rPr>
        <w:t>1</w:t>
      </w:r>
      <w:r>
        <w:rPr>
          <w:rFonts w:hint="eastAsia" w:ascii="仿宋_GB2312" w:hAnsi="宋体" w:eastAsia="仿宋_GB2312" w:cs="Arial"/>
          <w:kern w:val="0"/>
          <w:sz w:val="32"/>
          <w:szCs w:val="32"/>
          <w:highlight w:val="none"/>
          <w:lang w:val="en-US" w:eastAsia="zh-CN"/>
        </w:rPr>
        <w:t>,491,120.00元，其他社会保障缴费64,328.76元，其他工资福利支出0.00元；商品和服务支出62,197.18元。其中：办公费57,397.18元，工会经费4,800.00元，福利费</w:t>
      </w:r>
      <w:r>
        <w:rPr>
          <w:rFonts w:hint="default" w:ascii="仿宋_GB2312" w:hAnsi="宋体"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.00元，公务用车运行维护费</w:t>
      </w:r>
      <w:r>
        <w:rPr>
          <w:rFonts w:hint="default" w:ascii="仿宋_GB2312" w:hAnsi="宋体"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.00元，其他商品和服务支出</w:t>
      </w:r>
      <w:r>
        <w:rPr>
          <w:rFonts w:hint="default" w:ascii="仿宋_GB2312" w:hAnsi="宋体"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.00元。</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val="en-US" w:eastAsia="zh-CN"/>
        </w:rPr>
      </w:pPr>
      <w:r>
        <w:rPr>
          <w:rFonts w:hint="eastAsia" w:ascii="仿宋_GB2312" w:hAnsi="宋体" w:eastAsia="仿宋_GB2312" w:cs="Arial"/>
          <w:kern w:val="0"/>
          <w:sz w:val="32"/>
          <w:szCs w:val="32"/>
          <w:highlight w:val="none"/>
          <w:lang w:val="en-US" w:eastAsia="zh-CN"/>
        </w:rPr>
        <w:t>（8）.社会保障和就业（类）支出454,318.68元，占一般公共预算财政拨款总支出的12.67%,完成年初预算的</w:t>
      </w:r>
      <w:r>
        <w:rPr>
          <w:rFonts w:hint="eastAsia" w:ascii="仿宋_GB2312" w:hAnsi="宋体" w:eastAsia="仿宋_GB2312" w:cs="Arial"/>
          <w:kern w:val="0"/>
          <w:sz w:val="32"/>
          <w:szCs w:val="32"/>
          <w:highlight w:val="none"/>
          <w:lang w:val="zh-CN" w:eastAsia="zh-CN"/>
        </w:rPr>
        <w:t>82.24</w:t>
      </w:r>
      <w:r>
        <w:rPr>
          <w:rFonts w:hint="eastAsia" w:ascii="仿宋_GB2312" w:hAnsi="宋体" w:eastAsia="仿宋_GB2312" w:cs="Arial"/>
          <w:kern w:val="0"/>
          <w:sz w:val="32"/>
          <w:szCs w:val="32"/>
          <w:highlight w:val="none"/>
          <w:lang w:val="en-US" w:eastAsia="zh-CN"/>
        </w:rPr>
        <w:t>%。主要用于工资福利支出407,569.28元。其中：机关事业单位基本养老保险缴费407,569.28元；对个人和家庭的补助0.00元。其中：退休费46,749.40元，生活补助</w:t>
      </w:r>
      <w:r>
        <w:rPr>
          <w:rFonts w:hint="default" w:ascii="仿宋_GB2312" w:hAnsi="宋体"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.00元。</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val="en-US" w:eastAsia="zh-CN"/>
        </w:rPr>
      </w:pPr>
      <w:r>
        <w:rPr>
          <w:rFonts w:hint="eastAsia" w:ascii="仿宋_GB2312" w:hAnsi="宋体" w:eastAsia="仿宋_GB2312" w:cs="Arial"/>
          <w:kern w:val="0"/>
          <w:sz w:val="32"/>
          <w:szCs w:val="32"/>
          <w:highlight w:val="none"/>
          <w:lang w:val="en-US" w:eastAsia="zh-CN"/>
        </w:rPr>
        <w:t>（9）.卫生健康（类）支出</w:t>
      </w:r>
      <w:r>
        <w:rPr>
          <w:rFonts w:hint="eastAsia" w:ascii="仿宋_GB2312" w:hAnsi="宋体" w:eastAsia="仿宋_GB2312" w:cs="Arial"/>
          <w:kern w:val="0"/>
          <w:sz w:val="32"/>
          <w:szCs w:val="32"/>
          <w:highlight w:val="none"/>
          <w:lang w:val="zh-CN" w:eastAsia="zh-CN"/>
        </w:rPr>
        <w:t>227</w:t>
      </w:r>
      <w:r>
        <w:rPr>
          <w:rFonts w:hint="eastAsia"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lang w:val="zh-CN" w:eastAsia="zh-CN"/>
        </w:rPr>
        <w:t>613.40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6.35</w:t>
      </w:r>
      <w:r>
        <w:rPr>
          <w:rFonts w:hint="eastAsia" w:ascii="仿宋_GB2312" w:hAnsi="宋体" w:eastAsia="仿宋_GB2312" w:cs="Arial"/>
          <w:kern w:val="0"/>
          <w:sz w:val="32"/>
          <w:szCs w:val="32"/>
          <w:highlight w:val="none"/>
          <w:lang w:eastAsia="zh-CN"/>
        </w:rPr>
        <w:t>%,完成</w:t>
      </w:r>
      <w:r>
        <w:rPr>
          <w:rFonts w:hint="eastAsia" w:ascii="仿宋_GB2312" w:hAnsi="宋体" w:eastAsia="仿宋_GB2312" w:cs="Arial"/>
          <w:kern w:val="0"/>
          <w:sz w:val="32"/>
          <w:szCs w:val="32"/>
          <w:highlight w:val="none"/>
          <w:lang w:val="en-US" w:eastAsia="zh-CN"/>
        </w:rPr>
        <w:t>年初预算的</w:t>
      </w:r>
      <w:r>
        <w:rPr>
          <w:rFonts w:hint="eastAsia" w:ascii="仿宋_GB2312" w:hAnsi="宋体" w:eastAsia="仿宋_GB2312" w:cs="Arial"/>
          <w:kern w:val="0"/>
          <w:sz w:val="32"/>
          <w:szCs w:val="32"/>
          <w:highlight w:val="none"/>
          <w:lang w:val="zh-CN" w:eastAsia="zh-CN"/>
        </w:rPr>
        <w:t>96.00</w:t>
      </w:r>
      <w:r>
        <w:rPr>
          <w:rFonts w:hint="eastAsia" w:ascii="仿宋_GB2312" w:hAnsi="宋体" w:eastAsia="仿宋_GB2312" w:cs="Arial"/>
          <w:kern w:val="0"/>
          <w:sz w:val="32"/>
          <w:szCs w:val="32"/>
          <w:highlight w:val="none"/>
          <w:lang w:val="en-US" w:eastAsia="zh-CN"/>
        </w:rPr>
        <w:t>%。主要用于工资福利支出227,613.40元。其中：职工基本医疗保险缴费211,426.68元，公务员医疗补助缴费0.00元,其他社会保障缴费16,186.72元。</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（10）.节能环保（类）支出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（11）.城乡社区（类）支出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（12）.农林水（类）支出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（13）.交通运输（类）支出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（14）.资源勘探工业信息等（类）支出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（15）.商业服务业等（类）支出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（16）.金融（类）支出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（17）.援助其他地区（类）支出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（18）.自然资源海洋气象等（类）支出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val="en-US" w:eastAsia="zh-CN"/>
        </w:rPr>
      </w:pPr>
      <w:r>
        <w:rPr>
          <w:rFonts w:hint="eastAsia" w:ascii="仿宋_GB2312" w:hAnsi="宋体" w:eastAsia="仿宋_GB2312" w:cs="Arial"/>
          <w:kern w:val="0"/>
          <w:sz w:val="32"/>
          <w:szCs w:val="32"/>
          <w:highlight w:val="none"/>
          <w:lang w:val="en-US" w:eastAsia="zh-CN"/>
        </w:rPr>
        <w:t>（19）.住房保障（类）支出</w:t>
      </w:r>
      <w:r>
        <w:rPr>
          <w:rFonts w:hint="eastAsia" w:ascii="仿宋_GB2312" w:hAnsi="宋体" w:eastAsia="仿宋_GB2312" w:cs="Arial"/>
          <w:kern w:val="0"/>
          <w:sz w:val="32"/>
          <w:szCs w:val="32"/>
          <w:highlight w:val="none"/>
          <w:lang w:val="zh-CN" w:eastAsia="zh-CN"/>
        </w:rPr>
        <w:t>49</w:t>
      </w:r>
      <w:r>
        <w:rPr>
          <w:rFonts w:hint="eastAsia"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lang w:val="zh-CN" w:eastAsia="zh-CN"/>
        </w:rPr>
        <w:t>158.00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1.37</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15.32</w:t>
      </w:r>
      <w:r>
        <w:rPr>
          <w:rFonts w:hint="eastAsia"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lang w:eastAsia="zh-CN"/>
        </w:rPr>
        <w:t>。主要用</w:t>
      </w:r>
      <w:r>
        <w:rPr>
          <w:rFonts w:hint="eastAsia" w:ascii="仿宋_GB2312" w:hAnsi="宋体" w:eastAsia="仿宋_GB2312" w:cs="Arial"/>
          <w:kern w:val="0"/>
          <w:sz w:val="32"/>
          <w:szCs w:val="32"/>
          <w:highlight w:val="none"/>
          <w:lang w:val="en-US" w:eastAsia="zh-CN"/>
        </w:rPr>
        <w:t>于工资福利支出49,158.00元。其中：</w:t>
      </w:r>
      <w:r>
        <w:rPr>
          <w:rFonts w:hint="default" w:ascii="仿宋_GB2312" w:hAnsi="宋体" w:eastAsia="仿宋_GB2312" w:cs="Arial"/>
          <w:kern w:val="0"/>
          <w:sz w:val="32"/>
          <w:szCs w:val="32"/>
          <w:highlight w:val="none"/>
          <w:lang w:val="en-US" w:eastAsia="zh-CN"/>
        </w:rPr>
        <w:t>住房公积金</w:t>
      </w:r>
      <w:r>
        <w:rPr>
          <w:rFonts w:hint="eastAsia" w:ascii="仿宋_GB2312" w:hAnsi="宋体" w:eastAsia="仿宋_GB2312" w:cs="Arial"/>
          <w:kern w:val="0"/>
          <w:sz w:val="32"/>
          <w:szCs w:val="32"/>
          <w:highlight w:val="none"/>
          <w:lang w:val="en-US" w:eastAsia="zh-CN"/>
        </w:rPr>
        <w:t>49,158.00元。</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（20）.粮油物资储备（类）支出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（21）.国有资本经营预算（类）支出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（22）.灾害防治及应急管理（类）支出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（23）.其他（类）支出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（24）.债务还本（类）支出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（25）.债务付息（类）支出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2"/>
          <w:szCs w:val="32"/>
          <w:highlight w:val="none"/>
          <w:lang w:val="en-US" w:eastAsia="zh-CN"/>
        </w:rPr>
        <w:t>（26）.抗疫特别国债安排（类）支出</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元，占一般公共预算财政拨款总支出的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eastAsia="zh-CN"/>
        </w:rPr>
        <w:t>%,完成年初预算的</w:t>
      </w:r>
      <w:r>
        <w:rPr>
          <w:rFonts w:hint="eastAsia" w:ascii="仿宋_GB2312" w:hAnsi="宋体" w:eastAsia="仿宋_GB2312" w:cs="Arial"/>
          <w:kern w:val="0"/>
          <w:sz w:val="32"/>
          <w:szCs w:val="32"/>
          <w:highlight w:val="none"/>
          <w:lang w:val="zh-CN" w:eastAsia="zh-CN"/>
        </w:rPr>
        <w:t>0.00</w:t>
      </w:r>
      <w:r>
        <w:rPr>
          <w:rFonts w:hint="eastAsia" w:ascii="仿宋_GB2312" w:hAnsi="宋体" w:eastAsia="仿宋_GB2312" w:cs="Arial"/>
          <w:kern w:val="0"/>
          <w:sz w:val="32"/>
          <w:szCs w:val="32"/>
          <w:highlight w:val="none"/>
          <w:lang w:val="en-US" w:eastAsia="zh-CN"/>
        </w:rPr>
        <w:t>%，年初无此项预算</w:t>
      </w:r>
      <w:r>
        <w:rPr>
          <w:rFonts w:hint="eastAsia" w:ascii="仿宋_GB2312" w:hAnsi="宋体" w:eastAsia="仿宋_GB2312" w:cs="Arial"/>
          <w:kern w:val="0"/>
          <w:sz w:val="32"/>
          <w:szCs w:val="32"/>
          <w:highlight w:val="none"/>
          <w:lang w:eastAsia="zh-CN"/>
        </w:rPr>
        <w:t>。</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四、财政拨款“三公”经费支出决算情况说明</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lang w:val="en-US" w:eastAsia="zh-CN"/>
        </w:rPr>
      </w:pPr>
      <w:r>
        <w:rPr>
          <w:rFonts w:hint="eastAsia" w:ascii="楷体" w:hAnsi="楷体" w:eastAsia="楷体"/>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15,000.00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500.00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default" w:ascii="仿宋_GB2312" w:eastAsia="仿宋_GB2312"/>
          <w:color w:val="FF0000"/>
          <w:sz w:val="30"/>
          <w:szCs w:val="30"/>
          <w:lang w:val="en-US"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15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hAnsi="Times New Roman" w:eastAsia="仿宋_GB2312" w:cs="Times New Roman"/>
          <w:sz w:val="30"/>
          <w:szCs w:val="30"/>
          <w:highlight w:val="none"/>
        </w:rPr>
        <w:t>因公出国（境）费</w:t>
      </w:r>
      <w:r>
        <w:rPr>
          <w:rFonts w:hint="eastAsia" w:ascii="仿宋_GB2312" w:hAnsi="Times New Roman" w:eastAsia="仿宋_GB2312" w:cs="Times New Roman"/>
          <w:sz w:val="30"/>
          <w:szCs w:val="30"/>
          <w:highlight w:val="none"/>
          <w:lang w:eastAsia="zh-CN"/>
        </w:rPr>
        <w:t>支出决算较上年增加</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val="en-US" w:eastAsia="zh-CN"/>
        </w:rPr>
        <w:t>元，增长</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公务用车购置费</w:t>
      </w:r>
      <w:r>
        <w:rPr>
          <w:rFonts w:hint="eastAsia" w:ascii="仿宋_GB2312" w:hAnsi="Times New Roman" w:eastAsia="仿宋_GB2312" w:cs="Times New Roman"/>
          <w:sz w:val="30"/>
          <w:szCs w:val="30"/>
          <w:highlight w:val="none"/>
          <w:lang w:eastAsia="zh-CN"/>
        </w:rPr>
        <w:t>支出决算较上年增加</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val="en-US" w:eastAsia="zh-CN"/>
        </w:rPr>
        <w:t>元，</w:t>
      </w:r>
      <w:r>
        <w:rPr>
          <w:rFonts w:hint="eastAsia" w:ascii="仿宋_GB2312" w:hAnsi="宋体" w:eastAsia="仿宋_GB2312" w:cs="Arial"/>
          <w:kern w:val="0"/>
          <w:sz w:val="30"/>
          <w:szCs w:val="30"/>
          <w:highlight w:val="none"/>
          <w:lang w:val="en-US" w:eastAsia="zh-CN"/>
        </w:rPr>
        <w:t>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500.00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上年无此项支出。</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lang w:val="en-US" w:eastAsia="zh-CN"/>
        </w:rPr>
      </w:pPr>
      <w:r>
        <w:rPr>
          <w:rFonts w:hint="eastAsia" w:ascii="楷体" w:hAnsi="楷体" w:eastAsia="楷体"/>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15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500.00</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15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无</w:t>
      </w:r>
      <w:r>
        <w:rPr>
          <w:rFonts w:hint="eastAsia" w:ascii="仿宋_GB2312" w:hAnsi="Times New Roman" w:eastAsia="仿宋_GB2312" w:cs="Times New Roman"/>
          <w:sz w:val="30"/>
          <w:szCs w:val="30"/>
          <w:highlight w:val="none"/>
          <w:lang w:eastAsia="zh-CN"/>
        </w:rPr>
        <w:t>此项支出</w:t>
      </w:r>
      <w:r>
        <w:rPr>
          <w:rFonts w:hint="eastAsia" w:ascii="仿宋_GB2312" w:eastAsia="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bookmarkStart w:id="0" w:name="OLE_LINK1"/>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bookmarkEnd w:id="0"/>
      <w:r>
        <w:rPr>
          <w:rFonts w:hint="eastAsia" w:ascii="仿宋_GB2312" w:eastAsia="仿宋_GB2312"/>
          <w:sz w:val="30"/>
          <w:szCs w:val="30"/>
          <w:highlight w:val="none"/>
        </w:rPr>
        <w:t>决算增减少</w:t>
      </w:r>
      <w:r>
        <w:rPr>
          <w:rFonts w:hint="eastAsia" w:ascii="仿宋_GB2312" w:hAnsi="仿宋_GB2312" w:eastAsia="仿宋_GB2312" w:cs="仿宋_GB2312"/>
          <w:color w:val="000000"/>
          <w:sz w:val="30"/>
          <w:lang w:val="zh-CN"/>
        </w:rPr>
        <w:t>500.00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hAnsi="仿宋_GB2312" w:eastAsia="仿宋_GB2312" w:cs="仿宋_GB2312"/>
          <w:color w:val="000000"/>
          <w:sz w:val="30"/>
          <w:lang w:val="zh-CN"/>
        </w:rPr>
        <w:t>100.00</w:t>
      </w:r>
      <w:r>
        <w:rPr>
          <w:rFonts w:hint="eastAsia" w:ascii="仿宋_GB2312" w:eastAsia="仿宋_GB2312"/>
          <w:sz w:val="30"/>
          <w:szCs w:val="30"/>
          <w:highlight w:val="none"/>
        </w:rPr>
        <w:t>%；公务接待费支出决算增加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0.00元，增长0.00%；</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0.00元，增长0.00%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keepNext w:val="0"/>
        <w:keepLines w:val="0"/>
        <w:pageBreakBefore w:val="0"/>
        <w:widowControl/>
        <w:numPr>
          <w:ilvl w:val="0"/>
          <w:numId w:val="1"/>
        </w:numPr>
        <w:kinsoku/>
        <w:overflowPunct/>
        <w:topLinePunct w:val="0"/>
        <w:bidi w:val="0"/>
        <w:snapToGrid w:val="0"/>
        <w:spacing w:before="100" w:after="100" w:line="590" w:lineRule="exact"/>
        <w:ind w:firstLine="600" w:firstLineChars="200"/>
        <w:jc w:val="left"/>
        <w:textAlignment w:val="auto"/>
        <w:rPr>
          <w:rFonts w:hint="eastAsia" w:ascii="仿宋_GB2312" w:eastAsia="仿宋_GB2312"/>
          <w:b w:val="0"/>
          <w:bCs/>
          <w:sz w:val="30"/>
          <w:szCs w:val="30"/>
          <w:highlight w:val="none"/>
        </w:rPr>
      </w:pPr>
      <w:r>
        <w:rPr>
          <w:rFonts w:hint="eastAsia" w:ascii="仿宋_GB2312" w:eastAsia="仿宋_GB2312"/>
          <w:b w:val="0"/>
          <w:bCs/>
          <w:sz w:val="30"/>
          <w:szCs w:val="30"/>
          <w:highlight w:val="none"/>
        </w:rPr>
        <w:t>安排因公出国（境）团组</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人次。</w:t>
      </w:r>
    </w:p>
    <w:p>
      <w:pPr>
        <w:keepNext w:val="0"/>
        <w:keepLines w:val="0"/>
        <w:pageBreakBefore w:val="0"/>
        <w:widowControl/>
        <w:numPr>
          <w:ilvl w:val="0"/>
          <w:numId w:val="1"/>
        </w:numPr>
        <w:kinsoku/>
        <w:overflowPunct/>
        <w:topLinePunct w:val="0"/>
        <w:bidi w:val="0"/>
        <w:snapToGrid w:val="0"/>
        <w:spacing w:before="100" w:after="100" w:line="590" w:lineRule="exact"/>
        <w:ind w:firstLine="600" w:firstLineChars="200"/>
        <w:jc w:val="left"/>
        <w:textAlignment w:val="auto"/>
        <w:rPr>
          <w:rFonts w:hint="eastAsia" w:ascii="仿宋_GB2312" w:eastAsia="仿宋_GB2312"/>
          <w:b w:val="0"/>
          <w:bCs/>
          <w:sz w:val="30"/>
          <w:szCs w:val="30"/>
          <w:highlight w:val="none"/>
        </w:rPr>
      </w:pPr>
      <w:r>
        <w:rPr>
          <w:rFonts w:hint="eastAsia" w:ascii="仿宋_GB2312" w:eastAsia="仿宋_GB2312"/>
          <w:b w:val="0"/>
          <w:bCs/>
          <w:sz w:val="30"/>
          <w:szCs w:val="30"/>
          <w:highlight w:val="none"/>
        </w:rPr>
        <w:t>购置车辆</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rPr>
          <w:rFonts w:hint="eastAsia" w:ascii="仿宋_GB2312" w:eastAsia="仿宋_GB2312"/>
          <w:b w:val="0"/>
          <w:bCs/>
          <w:color w:val="FF0000"/>
          <w:sz w:val="30"/>
          <w:szCs w:val="30"/>
          <w:highlight w:val="none"/>
          <w:lang w:eastAsia="zh-CN"/>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w:t>
      </w: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lang w:val="en-US" w:eastAsia="zh-CN"/>
        </w:rPr>
      </w:pPr>
      <w:r>
        <w:rPr>
          <w:rFonts w:hint="eastAsia" w:ascii="楷体" w:hAnsi="楷体" w:eastAsia="楷体"/>
          <w:sz w:val="32"/>
          <w:szCs w:val="32"/>
          <w:highlight w:val="none"/>
          <w:lang w:val="en-US"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keepNext w:val="0"/>
        <w:keepLines w:val="0"/>
        <w:pageBreakBefore w:val="0"/>
        <w:widowControl/>
        <w:kinsoku/>
        <w:overflowPunct/>
        <w:topLinePunct w:val="0"/>
        <w:bidi w:val="0"/>
        <w:snapToGrid w:val="0"/>
        <w:spacing w:before="100" w:after="100" w:line="590" w:lineRule="exact"/>
        <w:ind w:firstLine="600" w:firstLineChars="200"/>
        <w:jc w:val="left"/>
        <w:textAlignment w:val="auto"/>
        <w:rPr>
          <w:rFonts w:hint="eastAsia" w:ascii="仿宋_GB2312" w:eastAsia="仿宋_GB2312"/>
          <w:sz w:val="30"/>
          <w:szCs w:val="30"/>
          <w:highlight w:val="none"/>
          <w:lang w:eastAsia="zh-CN"/>
        </w:rPr>
      </w:pPr>
    </w:p>
    <w:p>
      <w:pPr>
        <w:keepNext w:val="0"/>
        <w:keepLines w:val="0"/>
        <w:pageBreakBefore w:val="0"/>
        <w:widowControl/>
        <w:kinsoku/>
        <w:overflowPunct/>
        <w:topLinePunct w:val="0"/>
        <w:bidi w:val="0"/>
        <w:snapToGrid w:val="0"/>
        <w:spacing w:before="100" w:after="100" w:line="590" w:lineRule="exact"/>
        <w:ind w:firstLine="640" w:firstLineChars="200"/>
        <w:jc w:val="left"/>
        <w:textAlignment w:val="auto"/>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一、机关运行经费支出情况</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峨山彝族自治县群众文化工作队</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是本单位属于财政补助单位，不存在机关运行费用</w:t>
      </w:r>
      <w:r>
        <w:rPr>
          <w:rFonts w:hint="eastAsia" w:ascii="仿宋_GB2312" w:hAnsi="黑体" w:eastAsia="仿宋_GB2312" w:cs="方正小标宋简体"/>
          <w:sz w:val="30"/>
          <w:szCs w:val="30"/>
          <w:highlight w:val="none"/>
        </w:rPr>
        <w:t>。</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二、国有资产占用情况</w:t>
      </w:r>
    </w:p>
    <w:p>
      <w:pPr>
        <w:keepNext w:val="0"/>
        <w:keepLines w:val="0"/>
        <w:pageBreakBefore w:val="0"/>
        <w:widowControl/>
        <w:kinsoku/>
        <w:overflowPunct/>
        <w:topLinePunct w:val="0"/>
        <w:bidi w:val="0"/>
        <w:spacing w:line="59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峨山彝族自治县群众文化工作队</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1,477,388.17</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1,427,053.05</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50,335.12</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w:t>
      </w:r>
      <w:r>
        <w:rPr>
          <w:rFonts w:hint="eastAsia" w:ascii="仿宋_GB2312" w:hAnsi="仿宋_GB2312" w:eastAsia="仿宋_GB2312" w:cs="仿宋_GB2312"/>
          <w:color w:val="auto"/>
          <w:sz w:val="30"/>
          <w:szCs w:val="30"/>
          <w:highlight w:val="none"/>
          <w:lang w:eastAsia="zh-CN"/>
        </w:rPr>
        <w:t>，其他资产</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元（净值）</w:t>
      </w:r>
      <w:r>
        <w:rPr>
          <w:rFonts w:hint="eastAsia" w:ascii="仿宋_GB2312" w:hAnsi="黑体" w:eastAsia="仿宋_GB2312" w:cs="方正小标宋简体"/>
          <w:color w:val="000000"/>
          <w:kern w:val="0"/>
          <w:sz w:val="30"/>
          <w:szCs w:val="30"/>
          <w:highlight w:val="none"/>
        </w:rPr>
        <w:t>。</w:t>
      </w:r>
      <w:r>
        <w:rPr>
          <w:rFonts w:hint="eastAsia" w:ascii="仿宋_GB2312" w:hAnsi="仿宋_GB2312" w:eastAsia="仿宋_GB2312" w:cs="仿宋_GB2312"/>
          <w:sz w:val="30"/>
          <w:szCs w:val="30"/>
          <w:highlight w:val="none"/>
          <w:lang w:val="en-US" w:eastAsia="zh-CN"/>
        </w:rPr>
        <w:t>与上年相比，本年资产总额减少19,751.92元，其中固定资产增加7,657.48元。处置房屋建筑物0平方米，账面原值0.00元；处置车辆1辆，账面原值300,000.00元；报废报损资产1项，账面原值0.00元，实现资产处置收入12,190.00元；出租房屋0平方米，账面原值0.00元，实现资产使用收入0.00元。</w:t>
      </w:r>
    </w:p>
    <w:p>
      <w:pPr>
        <w:keepNext w:val="0"/>
        <w:keepLines w:val="0"/>
        <w:pageBreakBefore w:val="0"/>
        <w:widowControl/>
        <w:kinsoku/>
        <w:overflowPunct/>
        <w:topLinePunct w:val="0"/>
        <w:bidi w:val="0"/>
        <w:spacing w:line="590" w:lineRule="exact"/>
        <w:ind w:firstLine="600" w:firstLineChars="200"/>
        <w:textAlignment w:val="auto"/>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rPr>
          <w:trHeight w:val="347"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rPr>
          <w:trHeight w:val="41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rPr>
          <w:trHeight w:val="3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bidi w:val="0"/>
              <w:spacing w:line="590" w:lineRule="exact"/>
              <w:jc w:val="left"/>
              <w:textAlignment w:val="auto"/>
              <w:rPr>
                <w:rFonts w:ascii="宋体" w:hAnsi="宋体" w:cs="宋体"/>
                <w:color w:val="000000"/>
                <w:kern w:val="0"/>
                <w:sz w:val="17"/>
                <w:szCs w:val="17"/>
                <w:highlight w:val="none"/>
              </w:rPr>
            </w:pPr>
          </w:p>
        </w:tc>
      </w:tr>
      <w:tr>
        <w:trPr>
          <w:trHeight w:val="495" w:hRule="atLeast"/>
        </w:trPr>
        <w:tc>
          <w:tcPr>
            <w:tcW w:w="142" w:type="dxa"/>
            <w:noWrap w:val="0"/>
            <w:vAlign w:val="center"/>
          </w:tcPr>
          <w:p>
            <w:pPr>
              <w:keepNext w:val="0"/>
              <w:keepLines w:val="0"/>
              <w:pageBreakBefore w:val="0"/>
              <w:widowControl/>
              <w:kinsoku/>
              <w:overflowPunct/>
              <w:topLinePunct w:val="0"/>
              <w:bidi w:val="0"/>
              <w:spacing w:line="590" w:lineRule="exact"/>
              <w:jc w:val="left"/>
              <w:textAlignment w:val="auto"/>
              <w:rPr>
                <w:rFonts w:ascii="Times New Roman" w:hAnsi="Times New Roman" w:eastAsia="Times New Roman"/>
                <w:kern w:val="0"/>
                <w:sz w:val="20"/>
                <w:szCs w:val="20"/>
                <w:highlight w:val="none"/>
              </w:rPr>
            </w:pPr>
          </w:p>
        </w:tc>
      </w:tr>
    </w:tbl>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三、政府采购支出情况</w:t>
      </w:r>
    </w:p>
    <w:p>
      <w:pPr>
        <w:keepNext w:val="0"/>
        <w:keepLines w:val="0"/>
        <w:pageBreakBefore w:val="0"/>
        <w:kinsoku/>
        <w:overflowPunct/>
        <w:topLinePunct w:val="0"/>
        <w:bidi w:val="0"/>
        <w:spacing w:line="59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四、单位绩效自评情况</w:t>
      </w:r>
    </w:p>
    <w:p>
      <w:pPr>
        <w:keepNext w:val="0"/>
        <w:keepLines w:val="0"/>
        <w:pageBreakBefore w:val="0"/>
        <w:widowControl/>
        <w:kinsoku/>
        <w:overflowPunct/>
        <w:topLinePunct w:val="0"/>
        <w:bidi w:val="0"/>
        <w:snapToGrid w:val="0"/>
        <w:spacing w:before="100" w:after="100" w:line="590" w:lineRule="exact"/>
        <w:ind w:firstLine="6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五、其他重要事项情况说明</w:t>
      </w:r>
    </w:p>
    <w:p>
      <w:pPr>
        <w:keepNext w:val="0"/>
        <w:keepLines w:val="0"/>
        <w:pageBreakBefore w:val="0"/>
        <w:widowControl/>
        <w:kinsoku/>
        <w:overflowPunct/>
        <w:topLinePunct w:val="0"/>
        <w:bidi w:val="0"/>
        <w:snapToGrid w:val="0"/>
        <w:spacing w:before="100" w:after="100" w:line="590" w:lineRule="exact"/>
        <w:ind w:firstLine="600"/>
        <w:jc w:val="lef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峨山彝族自治县群众文化工作队无其他重要事项情况。</w:t>
      </w:r>
    </w:p>
    <w:p>
      <w:pPr>
        <w:keepNext w:val="0"/>
        <w:keepLines w:val="0"/>
        <w:pageBreakBefore w:val="0"/>
        <w:kinsoku/>
        <w:overflowPunct/>
        <w:topLinePunct w:val="0"/>
        <w:bidi w:val="0"/>
        <w:spacing w:line="590" w:lineRule="exact"/>
        <w:ind w:firstLine="640" w:firstLineChars="200"/>
        <w:textAlignment w:val="auto"/>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六、相关口径说明</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bidi w:val="0"/>
        <w:spacing w:line="590" w:lineRule="exact"/>
        <w:jc w:val="center"/>
        <w:textAlignment w:val="auto"/>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bidi w:val="0"/>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情况说明里涉及到需要解释说明的决算相关专用名词，在此进行说明解释。</w:t>
      </w:r>
      <w:r>
        <w:rPr>
          <w:rFonts w:hint="eastAsia" w:ascii="仿宋_GB2312" w:hAnsi="黑体" w:eastAsia="仿宋_GB2312" w:cs="方正小标宋简体"/>
          <w:sz w:val="30"/>
          <w:szCs w:val="30"/>
          <w:highlight w:val="none"/>
          <w:lang w:eastAsia="zh-CN"/>
        </w:rPr>
        <w:t>若没有涉及专用名词，</w:t>
      </w:r>
      <w:r>
        <w:rPr>
          <w:rFonts w:hint="eastAsia" w:ascii="仿宋_GB2312" w:hAnsi="黑体" w:eastAsia="仿宋_GB2312" w:cs="方正小标宋简体"/>
          <w:b/>
          <w:bCs/>
          <w:sz w:val="30"/>
          <w:szCs w:val="30"/>
          <w:highlight w:val="none"/>
          <w:lang w:eastAsia="zh-CN"/>
        </w:rPr>
        <w:t>应</w:t>
      </w:r>
      <w:r>
        <w:rPr>
          <w:rFonts w:hint="eastAsia" w:ascii="仿宋_GB2312" w:hAnsi="仿宋_GB2312" w:eastAsia="仿宋_GB2312" w:cs="仿宋_GB2312"/>
          <w:b/>
          <w:bCs/>
          <w:sz w:val="30"/>
          <w:szCs w:val="30"/>
          <w:highlight w:val="none"/>
          <w:u w:val="none"/>
          <w:lang w:val="en-US" w:eastAsia="zh-CN"/>
        </w:rPr>
        <w:t>至少公开一条与决算相关的财务专业名词解释，或</w:t>
      </w:r>
      <w:r>
        <w:rPr>
          <w:rFonts w:hint="eastAsia" w:ascii="仿宋_GB2312" w:hAnsi="黑体" w:eastAsia="仿宋_GB2312" w:cs="方正小标宋简体"/>
          <w:sz w:val="30"/>
          <w:szCs w:val="30"/>
          <w:highlight w:val="none"/>
          <w:lang w:eastAsia="zh-CN"/>
        </w:rPr>
        <w:t>请直接保留模板提供专用名词。</w:t>
      </w:r>
    </w:p>
    <w:p>
      <w:pPr>
        <w:keepNext w:val="0"/>
        <w:keepLines w:val="0"/>
        <w:pageBreakBefore w:val="0"/>
        <w:kinsoku/>
        <w:overflowPunct/>
        <w:topLinePunct w:val="0"/>
        <w:bidi w:val="0"/>
        <w:spacing w:line="590" w:lineRule="exact"/>
        <w:textAlignment w:val="auto"/>
        <w:rPr>
          <w:highlight w:val="none"/>
        </w:rPr>
      </w:pPr>
    </w:p>
    <w:p>
      <w:pPr>
        <w:rPr>
          <w:rFonts w:ascii="Arial" w:hAnsi="Arial" w:eastAsia="Arial" w:cs="Arial"/>
          <w:b/>
          <w:sz w:val="36"/>
        </w:rPr>
      </w:pPr>
      <w:r>
        <w:rPr>
          <w:rFonts w:ascii="Arial" w:hAnsi="Arial" w:eastAsia="Arial" w:cs="Arial"/>
          <w:b/>
          <w:sz w:val="36"/>
        </w:rPr>
        <w:t>监督索引号53042600135700201111</w:t>
      </w:r>
    </w:p>
    <w:bookmarkEnd w:id="1"/>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64497"/>
    <w:multiLevelType w:val="singleLevel"/>
    <w:tmpl w:val="EDB644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MTQyZmE0MjU2ZmNjMTA1YjI3Yzc3YmQyNDY5ZjcifQ=="/>
  </w:docVars>
  <w:rsids>
    <w:rsidRoot w:val="00000000"/>
    <w:rsid w:val="033C67A4"/>
    <w:rsid w:val="1D2642A2"/>
    <w:rsid w:val="1D560114"/>
    <w:rsid w:val="283B3C32"/>
    <w:rsid w:val="2B882000"/>
    <w:rsid w:val="2C730B86"/>
    <w:rsid w:val="2E3B49D1"/>
    <w:rsid w:val="40993DEB"/>
    <w:rsid w:val="520640D3"/>
    <w:rsid w:val="5D915A20"/>
    <w:rsid w:val="624D7E80"/>
    <w:rsid w:val="653B6CB7"/>
    <w:rsid w:val="732A5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p_MsoNormal"/>
    <w:basedOn w:val="1"/>
    <w:qFormat/>
    <w:uiPriority w:val="0"/>
    <w:pPr>
      <w:spacing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0">
    <w:name w:val="p"/>
    <w:basedOn w:val="1"/>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24</Pages>
  <Words>8862</Words>
  <Characters>10919</Characters>
  <Lines>0</Lines>
  <Paragraphs>0</Paragraphs>
  <TotalTime>36</TotalTime>
  <ScaleCrop>false</ScaleCrop>
  <LinksUpToDate>false</LinksUpToDate>
  <CharactersWithSpaces>11002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2025-09-23T03:35:42Z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5F9769FB5DE540D3A9F3A8B7BC5B5F5B_13</vt:lpwstr>
  </property>
  <property fmtid="{D5CDD505-2E9C-101B-9397-08002B2CF9AE}" pid="3" name="KSOProductBuildVer">
    <vt:lpwstr>2052-11.8.2.12089</vt:lpwstr>
  </property>
  <property fmtid="{D5CDD505-2E9C-101B-9397-08002B2CF9AE}" pid="4" name="KSOTemplateDocerSaveRecord">
    <vt:lpwstr>eyJoZGlkIjoiNGI3ZDUxNDEzZDU2MDcxNGZjNGI5YjFmOTU3MTMyM2IiLCJ1c2VySWQiOiIzMDc0NzQwNjYifQ==</vt:lpwstr>
  </property>
</Properties>
</file>