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监督索引号53042600647301000</w:t>
      </w:r>
    </w:p>
    <w:p>
      <w:pPr>
        <w:keepNext w:val="0"/>
        <w:keepLines w:val="0"/>
        <w:pageBreakBefore w:val="0"/>
        <w:kinsoku/>
        <w:wordWrap/>
        <w:overflowPunct/>
        <w:topLinePunct w:val="0"/>
        <w:autoSpaceDE/>
        <w:autoSpaceDN/>
        <w:bidi w:val="0"/>
        <w:adjustRightInd/>
        <w:spacing w:line="590" w:lineRule="exact"/>
        <w:jc w:val="center"/>
        <w:textAlignment w:val="auto"/>
        <w:outlineLvl w:val="0"/>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lang w:val="zh-CN"/>
          <w14:textFill>
            <w14:solidFill>
              <w14:schemeClr w14:val="tx1"/>
            </w14:solidFill>
          </w14:textFill>
        </w:rPr>
        <w:t>峨山彝族自治县综合行政执法局</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2024</w:t>
      </w: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年度</w:t>
      </w:r>
    </w:p>
    <w:p>
      <w:pPr>
        <w:keepNext w:val="0"/>
        <w:keepLines w:val="0"/>
        <w:pageBreakBefore w:val="0"/>
        <w:kinsoku/>
        <w:wordWrap/>
        <w:overflowPunct/>
        <w:topLinePunct w:val="0"/>
        <w:autoSpaceDE/>
        <w:autoSpaceDN/>
        <w:bidi w:val="0"/>
        <w:adjustRightInd/>
        <w:spacing w:line="590" w:lineRule="exact"/>
        <w:jc w:val="center"/>
        <w:textAlignment w:val="auto"/>
        <w:outlineLvl w:val="0"/>
        <w:rPr>
          <w:rFonts w:hint="default" w:ascii="Times New Roman" w:hAnsi="Times New Roman" w:eastAsia="方正小标宋_GBK" w:cs="Times New Roman"/>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14:textFill>
            <w14:solidFill>
              <w14:schemeClr w14:val="tx1"/>
            </w14:solidFill>
          </w14:textFill>
        </w:rPr>
        <w:t>部门决算</w:t>
      </w:r>
    </w:p>
    <w:p>
      <w:pPr>
        <w:keepNext w:val="0"/>
        <w:keepLines w:val="0"/>
        <w:pageBreakBefore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简体" w:cs="Times New Roman"/>
          <w:color w:val="000000" w:themeColor="text1"/>
          <w:sz w:val="36"/>
          <w:szCs w:val="3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rPr>
          <w:rFonts w:hint="default" w:ascii="黑体" w:hAnsi="黑体" w:eastAsia="黑体"/>
          <w:color w:val="000000" w:themeColor="text1"/>
          <w:sz w:val="36"/>
          <w:szCs w:val="20"/>
          <w:lang w:val="zh-CN" w:eastAsia="zh-CN"/>
          <w14:textFill>
            <w14:solidFill>
              <w14:schemeClr w14:val="tx1"/>
            </w14:solidFill>
          </w14:textFill>
        </w:rPr>
      </w:pPr>
      <w:r>
        <w:rPr>
          <w:rFonts w:hint="default" w:ascii="黑体" w:hAnsi="黑体" w:eastAsia="黑体"/>
          <w:color w:val="000000" w:themeColor="text1"/>
          <w:sz w:val="36"/>
          <w:szCs w:val="20"/>
          <w:lang w:val="zh-CN" w:eastAsia="zh-CN"/>
          <w14:textFill>
            <w14:solidFill>
              <w14:schemeClr w14:val="tx1"/>
            </w14:solidFill>
          </w14:textFill>
        </w:rPr>
        <w:t>目录</w:t>
      </w:r>
    </w:p>
    <w:p>
      <w:pPr>
        <w:keepNext w:val="0"/>
        <w:keepLines w:val="0"/>
        <w:pageBreakBefore w:val="0"/>
        <w:kinsoku/>
        <w:wordWrap/>
        <w:overflowPunct/>
        <w:topLinePunct w:val="0"/>
        <w:autoSpaceDE/>
        <w:autoSpaceDN/>
        <w:bidi w:val="0"/>
        <w:adjustRightInd/>
        <w:spacing w:line="590" w:lineRule="exact"/>
        <w:jc w:val="left"/>
        <w:textAlignment w:val="auto"/>
        <w:rPr>
          <w:rFonts w:hint="default" w:ascii="Times New Roman" w:hAnsi="Times New Roman" w:eastAsia="黑体" w:cs="Times New Roman"/>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90" w:lineRule="exact"/>
        <w:jc w:val="left"/>
        <w:textAlignment w:val="auto"/>
        <w:outlineLvl w:val="0"/>
        <w:rPr>
          <w:rFonts w:hint="default" w:ascii="Times New Roman" w:hAnsi="Times New Roman" w:eastAsia="方正黑体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eastAsia="zh-CN"/>
          <w14:textFill>
            <w14:solidFill>
              <w14:schemeClr w14:val="tx1"/>
            </w14:solidFill>
          </w14:textFill>
        </w:rPr>
        <w:t>第一部分  部门概况</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一、主要职</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责</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二、</w:t>
      </w: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基本情况</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lang w:eastAsia="zh-CN"/>
          <w14:textFill>
            <w14:solidFill>
              <w14:schemeClr w14:val="tx1"/>
            </w14:solidFill>
          </w14:textFill>
        </w:rPr>
        <w:t>三、重点工作概述</w:t>
      </w:r>
    </w:p>
    <w:p>
      <w:pPr>
        <w:keepNext w:val="0"/>
        <w:keepLines w:val="0"/>
        <w:pageBreakBefore w:val="0"/>
        <w:kinsoku/>
        <w:wordWrap/>
        <w:overflowPunct/>
        <w:topLinePunct w:val="0"/>
        <w:autoSpaceDE/>
        <w:autoSpaceDN/>
        <w:bidi w:val="0"/>
        <w:adjustRightInd/>
        <w:spacing w:line="590" w:lineRule="exact"/>
        <w:jc w:val="left"/>
        <w:textAlignment w:val="auto"/>
        <w:outlineLvl w:val="0"/>
        <w:rPr>
          <w:rFonts w:hint="default" w:ascii="Times New Roman" w:hAnsi="Times New Roman" w:eastAsia="方正黑体_GBK" w:cs="Times New Roman"/>
          <w:color w:val="000000" w:themeColor="text1"/>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14:textFill>
            <w14:solidFill>
              <w14:schemeClr w14:val="tx1"/>
            </w14:solidFill>
          </w14:textFill>
        </w:rPr>
        <w:t xml:space="preserve">第二部分  </w:t>
      </w: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2024</w:t>
      </w:r>
      <w:r>
        <w:rPr>
          <w:rFonts w:hint="default" w:ascii="Times New Roman" w:hAnsi="Times New Roman" w:eastAsia="方正黑体_GBK" w:cs="Times New Roman"/>
          <w:color w:val="000000" w:themeColor="text1"/>
          <w:sz w:val="32"/>
          <w:szCs w:val="32"/>
          <w:highlight w:val="none"/>
          <w14:textFill>
            <w14:solidFill>
              <w14:schemeClr w14:val="tx1"/>
            </w14:solidFill>
          </w14:textFill>
        </w:rPr>
        <w:t>年度部门决算表</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14:textFill>
            <w14:solidFill>
              <w14:schemeClr w14:val="tx1"/>
            </w14:solidFill>
          </w14:textFill>
        </w:rPr>
        <w:t>一、收入支出决算表</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14:textFill>
            <w14:solidFill>
              <w14:schemeClr w14:val="tx1"/>
            </w14:solidFill>
          </w14:textFill>
        </w:rPr>
        <w:t>二、收入决算表</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14:textFill>
            <w14:solidFill>
              <w14:schemeClr w14:val="tx1"/>
            </w14:solidFill>
          </w14:textFill>
        </w:rPr>
        <w:t>三、支出决算表</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14:textFill>
            <w14:solidFill>
              <w14:schemeClr w14:val="tx1"/>
            </w14:solidFill>
          </w14:textFill>
        </w:rPr>
        <w:t>四、财政拨款收入支出决算表</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14:textFill>
            <w14:solidFill>
              <w14:schemeClr w14:val="tx1"/>
            </w14:solidFill>
          </w14:textFill>
        </w:rPr>
        <w:t>五、一般公共预算财政拨款收入支出决算表</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14:textFill>
            <w14:solidFill>
              <w14:schemeClr w14:val="tx1"/>
            </w14:solidFill>
          </w14:textFill>
        </w:rPr>
        <w:t>六、一般公共预算财政拨款基本支出决算表</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14:textFill>
            <w14:solidFill>
              <w14:schemeClr w14:val="tx1"/>
            </w14:solidFill>
          </w14:textFill>
        </w:rPr>
        <w:t>七、</w:t>
      </w:r>
      <w:r>
        <w:rPr>
          <w:rFonts w:hint="default" w:ascii="方正楷体_GBK" w:hAnsi="方正楷体_GBK" w:eastAsia="方正楷体_GBK" w:cs="方正楷体_GBK"/>
          <w:color w:val="000000" w:themeColor="text1"/>
          <w:sz w:val="32"/>
          <w:szCs w:val="32"/>
          <w:highlight w:val="none"/>
          <w:lang w:eastAsia="zh-CN"/>
          <w14:textFill>
            <w14:solidFill>
              <w14:schemeClr w14:val="tx1"/>
            </w14:solidFill>
          </w14:textFill>
        </w:rPr>
        <w:t>一般公共预算财政拨款项目支出决算表</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lang w:eastAsia="zh-CN"/>
          <w14:textFill>
            <w14:solidFill>
              <w14:schemeClr w14:val="tx1"/>
            </w14:solidFill>
          </w14:textFill>
        </w:rPr>
        <w:t>八</w:t>
      </w:r>
      <w:r>
        <w:rPr>
          <w:rFonts w:hint="default" w:ascii="方正楷体_GBK" w:hAnsi="方正楷体_GBK" w:eastAsia="方正楷体_GBK" w:cs="方正楷体_GBK"/>
          <w:color w:val="000000" w:themeColor="text1"/>
          <w:sz w:val="32"/>
          <w:szCs w:val="32"/>
          <w:highlight w:val="none"/>
          <w14:textFill>
            <w14:solidFill>
              <w14:schemeClr w14:val="tx1"/>
            </w14:solidFill>
          </w14:textFill>
        </w:rPr>
        <w:t>、政府性基金预算财政拨款收入支出决算表</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九、国有资本经营预算财政拨款收入支出决算表</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lang w:eastAsia="zh-CN"/>
          <w14:textFill>
            <w14:solidFill>
              <w14:schemeClr w14:val="tx1"/>
            </w14:solidFill>
          </w14:textFill>
        </w:rPr>
        <w:t>十</w:t>
      </w:r>
      <w:r>
        <w:rPr>
          <w:rFonts w:hint="default" w:ascii="方正楷体_GBK" w:hAnsi="方正楷体_GBK" w:eastAsia="方正楷体_GBK" w:cs="方正楷体_GBK"/>
          <w:color w:val="000000" w:themeColor="text1"/>
          <w:sz w:val="32"/>
          <w:szCs w:val="32"/>
          <w:highlight w:val="none"/>
          <w14:textFill>
            <w14:solidFill>
              <w14:schemeClr w14:val="tx1"/>
            </w14:solidFill>
          </w14:textFill>
        </w:rPr>
        <w:t>、</w:t>
      </w:r>
      <w:r>
        <w:rPr>
          <w:rFonts w:hint="default" w:ascii="方正楷体_GBK" w:hAnsi="方正楷体_GBK" w:eastAsia="方正楷体_GBK" w:cs="方正楷体_GBK"/>
          <w:color w:val="000000" w:themeColor="text1"/>
          <w:sz w:val="32"/>
          <w:szCs w:val="32"/>
          <w:highlight w:val="none"/>
          <w:lang w:eastAsia="zh-CN"/>
          <w14:textFill>
            <w14:solidFill>
              <w14:schemeClr w14:val="tx1"/>
            </w14:solidFill>
          </w14:textFill>
        </w:rPr>
        <w:t>财政拨款</w:t>
      </w:r>
      <w:r>
        <w:rPr>
          <w:rFonts w:hint="default" w:ascii="方正楷体_GBK" w:hAnsi="方正楷体_GBK" w:eastAsia="方正楷体_GBK" w:cs="方正楷体_GBK"/>
          <w:color w:val="000000" w:themeColor="text1"/>
          <w:sz w:val="32"/>
          <w:szCs w:val="32"/>
          <w:highlight w:val="none"/>
          <w14:textFill>
            <w14:solidFill>
              <w14:schemeClr w14:val="tx1"/>
            </w14:solidFill>
          </w14:textFill>
        </w:rPr>
        <w:t>“三公”经费、行政参公单位机关运行经费情况表</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十一、一般公共预算财政拨款“三公”经费情况表</w:t>
      </w:r>
    </w:p>
    <w:p>
      <w:pPr>
        <w:keepNext w:val="0"/>
        <w:keepLines w:val="0"/>
        <w:pageBreakBefore w:val="0"/>
        <w:kinsoku/>
        <w:wordWrap/>
        <w:overflowPunct/>
        <w:topLinePunct w:val="0"/>
        <w:autoSpaceDE/>
        <w:autoSpaceDN/>
        <w:bidi w:val="0"/>
        <w:adjustRightInd/>
        <w:spacing w:line="590" w:lineRule="exact"/>
        <w:jc w:val="left"/>
        <w:textAlignment w:val="auto"/>
        <w:outlineLvl w:val="0"/>
        <w:rPr>
          <w:rFonts w:hint="default" w:ascii="Times New Roman" w:hAnsi="Times New Roman" w:eastAsia="方正黑体_GBK" w:cs="Times New Roman"/>
          <w:color w:val="000000" w:themeColor="text1"/>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14:textFill>
            <w14:solidFill>
              <w14:schemeClr w14:val="tx1"/>
            </w14:solidFill>
          </w14:textFill>
        </w:rPr>
        <w:t>第三部</w:t>
      </w:r>
      <w:r>
        <w:rPr>
          <w:rFonts w:hint="default" w:ascii="Times New Roman" w:hAnsi="Times New Roman" w:eastAsia="方正黑体_GBK" w:cs="Times New Roman"/>
          <w:color w:val="000000" w:themeColor="text1"/>
          <w:sz w:val="32"/>
          <w:szCs w:val="32"/>
          <w:highlight w:val="none"/>
          <w:lang w:eastAsia="zh-CN"/>
          <w14:textFill>
            <w14:solidFill>
              <w14:schemeClr w14:val="tx1"/>
            </w14:solidFill>
          </w14:textFill>
        </w:rPr>
        <w:t>分</w:t>
      </w:r>
      <w:r>
        <w:rPr>
          <w:rFonts w:hint="default" w:ascii="Times New Roman" w:hAnsi="Times New Roman" w:eastAsia="方正黑体_GBK"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2024</w:t>
      </w:r>
      <w:r>
        <w:rPr>
          <w:rFonts w:hint="default" w:ascii="Times New Roman" w:hAnsi="Times New Roman" w:eastAsia="方正黑体_GBK" w:cs="Times New Roman"/>
          <w:color w:val="000000" w:themeColor="text1"/>
          <w:sz w:val="32"/>
          <w:szCs w:val="32"/>
          <w:highlight w:val="none"/>
          <w14:textFill>
            <w14:solidFill>
              <w14:schemeClr w14:val="tx1"/>
            </w14:solidFill>
          </w14:textFill>
        </w:rPr>
        <w:t>年度部门决算情况说明</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14:textFill>
            <w14:solidFill>
              <w14:schemeClr w14:val="tx1"/>
            </w14:solidFill>
          </w14:textFill>
        </w:rPr>
        <w:t>一、收入决算情况说明</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14:textFill>
            <w14:solidFill>
              <w14:schemeClr w14:val="tx1"/>
            </w14:solidFill>
          </w14:textFill>
        </w:rPr>
        <w:t>二、支出决算情况说明</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14:textFill>
            <w14:solidFill>
              <w14:schemeClr w14:val="tx1"/>
            </w14:solidFill>
          </w14:textFill>
        </w:rPr>
        <w:t>三、一般公共预算财政拨款支出决算情况说明</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14:textFill>
            <w14:solidFill>
              <w14:schemeClr w14:val="tx1"/>
            </w14:solidFill>
          </w14:textFill>
        </w:rPr>
        <w:t>四、财政拨款“三公”经费支出决算情况说明</w:t>
      </w:r>
    </w:p>
    <w:p>
      <w:pPr>
        <w:keepNext w:val="0"/>
        <w:keepLines w:val="0"/>
        <w:pageBreakBefore w:val="0"/>
        <w:kinsoku/>
        <w:wordWrap/>
        <w:overflowPunct/>
        <w:topLinePunct w:val="0"/>
        <w:autoSpaceDE/>
        <w:autoSpaceDN/>
        <w:bidi w:val="0"/>
        <w:adjustRightInd/>
        <w:spacing w:line="590" w:lineRule="exact"/>
        <w:jc w:val="left"/>
        <w:textAlignment w:val="auto"/>
        <w:outlineLvl w:val="0"/>
        <w:rPr>
          <w:rFonts w:hint="default" w:ascii="Times New Roman" w:hAnsi="Times New Roman" w:eastAsia="方正黑体_GBK" w:cs="Times New Roman"/>
          <w:color w:val="000000" w:themeColor="text1"/>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eastAsia="zh-CN"/>
          <w14:textFill>
            <w14:solidFill>
              <w14:schemeClr w14:val="tx1"/>
            </w14:solidFill>
          </w14:textFill>
        </w:rPr>
        <w:t>第四部分</w:t>
      </w: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2"/>
          <w:szCs w:val="32"/>
          <w:highlight w:val="none"/>
          <w14:textFill>
            <w14:solidFill>
              <w14:schemeClr w14:val="tx1"/>
            </w14:solidFill>
          </w14:textFill>
        </w:rPr>
        <w:t>其他重要事项及相关口径情况说明</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lang w:eastAsia="zh-CN"/>
          <w14:textFill>
            <w14:solidFill>
              <w14:schemeClr w14:val="tx1"/>
            </w14:solidFill>
          </w14:textFill>
        </w:rPr>
        <w:t>一、</w:t>
      </w:r>
      <w:r>
        <w:rPr>
          <w:rFonts w:hint="default" w:ascii="方正楷体_GBK" w:hAnsi="方正楷体_GBK" w:eastAsia="方正楷体_GBK" w:cs="方正楷体_GBK"/>
          <w:color w:val="000000" w:themeColor="text1"/>
          <w:sz w:val="32"/>
          <w:szCs w:val="32"/>
          <w:highlight w:val="none"/>
          <w14:textFill>
            <w14:solidFill>
              <w14:schemeClr w14:val="tx1"/>
            </w14:solidFill>
          </w14:textFill>
        </w:rPr>
        <w:t>机关运行经费支出情况</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lang w:eastAsia="zh-CN"/>
          <w14:textFill>
            <w14:solidFill>
              <w14:schemeClr w14:val="tx1"/>
            </w14:solidFill>
          </w14:textFill>
        </w:rPr>
        <w:t>二、</w:t>
      </w:r>
      <w:r>
        <w:rPr>
          <w:rFonts w:hint="default" w:ascii="方正楷体_GBK" w:hAnsi="方正楷体_GBK" w:eastAsia="方正楷体_GBK" w:cs="方正楷体_GBK"/>
          <w:color w:val="000000" w:themeColor="text1"/>
          <w:sz w:val="32"/>
          <w:szCs w:val="32"/>
          <w:highlight w:val="none"/>
          <w14:textFill>
            <w14:solidFill>
              <w14:schemeClr w14:val="tx1"/>
            </w14:solidFill>
          </w14:textFill>
        </w:rPr>
        <w:t>国有资产占用情况</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lang w:eastAsia="zh-CN"/>
          <w14:textFill>
            <w14:solidFill>
              <w14:schemeClr w14:val="tx1"/>
            </w14:solidFill>
          </w14:textFill>
        </w:rPr>
        <w:t>三、</w:t>
      </w:r>
      <w:r>
        <w:rPr>
          <w:rFonts w:hint="default" w:ascii="方正楷体_GBK" w:hAnsi="方正楷体_GBK" w:eastAsia="方正楷体_GBK" w:cs="方正楷体_GBK"/>
          <w:color w:val="000000" w:themeColor="text1"/>
          <w:sz w:val="32"/>
          <w:szCs w:val="32"/>
          <w:highlight w:val="none"/>
          <w14:textFill>
            <w14:solidFill>
              <w14:schemeClr w14:val="tx1"/>
            </w14:solidFill>
          </w14:textFill>
        </w:rPr>
        <w:t>政府采购支出情况</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lang w:eastAsia="zh-CN"/>
          <w14:textFill>
            <w14:solidFill>
              <w14:schemeClr w14:val="tx1"/>
            </w14:solidFill>
          </w14:textFill>
        </w:rPr>
        <w:t>四、</w:t>
      </w:r>
      <w:r>
        <w:rPr>
          <w:rFonts w:hint="default"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部门绩效自评情况</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lang w:eastAsia="zh-CN"/>
          <w14:textFill>
            <w14:solidFill>
              <w14:schemeClr w14:val="tx1"/>
            </w14:solidFill>
          </w14:textFill>
        </w:rPr>
        <w:t>五、</w:t>
      </w:r>
      <w:r>
        <w:rPr>
          <w:rFonts w:hint="default"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其他重要事项情况说明</w:t>
      </w:r>
    </w:p>
    <w:p>
      <w:pPr>
        <w:keepNext w:val="0"/>
        <w:keepLines w:val="0"/>
        <w:pageBreakBefore w:val="0"/>
        <w:kinsoku/>
        <w:wordWrap/>
        <w:overflowPunct/>
        <w:topLinePunct w:val="0"/>
        <w:autoSpaceDE/>
        <w:autoSpaceDN/>
        <w:bidi w:val="0"/>
        <w:adjustRightInd/>
        <w:spacing w:line="590" w:lineRule="exact"/>
        <w:jc w:val="left"/>
        <w:textAlignment w:val="auto"/>
        <w:outlineLvl w:val="1"/>
        <w:rPr>
          <w:rFonts w:hint="default"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pPr>
      <w:r>
        <w:rPr>
          <w:rFonts w:hint="default"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六、相关口径说明</w:t>
      </w:r>
    </w:p>
    <w:p>
      <w:pPr>
        <w:keepNext w:val="0"/>
        <w:keepLines w:val="0"/>
        <w:pageBreakBefore w:val="0"/>
        <w:kinsoku/>
        <w:wordWrap/>
        <w:overflowPunct/>
        <w:topLinePunct w:val="0"/>
        <w:autoSpaceDE/>
        <w:autoSpaceDN/>
        <w:bidi w:val="0"/>
        <w:adjustRightInd/>
        <w:spacing w:line="590" w:lineRule="exact"/>
        <w:jc w:val="left"/>
        <w:textAlignment w:val="auto"/>
        <w:outlineLvl w:val="0"/>
        <w:rPr>
          <w:rFonts w:hint="default" w:ascii="Times New Roman" w:hAnsi="Times New Roman" w:eastAsia="方正黑体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eastAsia="zh-CN"/>
          <w14:textFill>
            <w14:solidFill>
              <w14:schemeClr w14:val="tx1"/>
            </w14:solidFill>
          </w14:textFill>
        </w:rPr>
        <w:t>第五部分  名词解释</w:t>
      </w:r>
    </w:p>
    <w:p>
      <w:pPr>
        <w:keepNext w:val="0"/>
        <w:keepLines w:val="0"/>
        <w:pageBreakBefore w:val="0"/>
        <w:kinsoku/>
        <w:wordWrap/>
        <w:overflowPunct/>
        <w:topLinePunct w:val="0"/>
        <w:autoSpaceDE/>
        <w:autoSpaceDN/>
        <w:bidi w:val="0"/>
        <w:adjustRightInd/>
        <w:spacing w:line="590" w:lineRule="exact"/>
        <w:jc w:val="center"/>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90" w:lineRule="exact"/>
        <w:jc w:val="center"/>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90" w:lineRule="exact"/>
        <w:jc w:val="center"/>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90" w:lineRule="exact"/>
        <w:jc w:val="center"/>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90" w:lineRule="exact"/>
        <w:jc w:val="center"/>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90" w:lineRule="exact"/>
        <w:jc w:val="center"/>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90" w:lineRule="exact"/>
        <w:jc w:val="center"/>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90" w:lineRule="exact"/>
        <w:ind w:firstLine="640" w:firstLineChars="200"/>
        <w:jc w:val="center"/>
        <w:textAlignment w:val="auto"/>
        <w:outlineLvl w:val="0"/>
        <w:rPr>
          <w:rFonts w:hint="default" w:ascii="Times New Roman" w:hAnsi="Times New Roman" w:eastAsia="方正黑体_GBK" w:cs="Times New Roman"/>
          <w:color w:val="000000" w:themeColor="text1"/>
          <w:sz w:val="32"/>
          <w:szCs w:val="32"/>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590" w:lineRule="exact"/>
        <w:ind w:firstLine="640" w:firstLineChars="200"/>
        <w:jc w:val="center"/>
        <w:textAlignment w:val="auto"/>
        <w:outlineLvl w:val="0"/>
        <w:rPr>
          <w:rFonts w:hint="default" w:ascii="Times New Roman" w:hAnsi="Times New Roman" w:eastAsia="方正黑体_GBK" w:cs="Times New Roman"/>
          <w:color w:val="000000" w:themeColor="text1"/>
          <w:sz w:val="32"/>
          <w:szCs w:val="32"/>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590" w:lineRule="exact"/>
        <w:ind w:firstLine="640" w:firstLineChars="200"/>
        <w:jc w:val="center"/>
        <w:textAlignment w:val="auto"/>
        <w:outlineLvl w:val="0"/>
        <w:rPr>
          <w:rFonts w:hint="default" w:ascii="Times New Roman" w:hAnsi="Times New Roman" w:eastAsia="方正黑体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eastAsia="zh-CN"/>
          <w14:textFill>
            <w14:solidFill>
              <w14:schemeClr w14:val="tx1"/>
            </w14:solidFill>
          </w14:textFill>
        </w:rPr>
        <w:t>第一部分  部门概况</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0"/>
        <w:rPr>
          <w:rFonts w:hint="default" w:ascii="Times New Roman" w:hAnsi="Times New Roman" w:eastAsia="方正黑体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eastAsia="zh-CN"/>
          <w14:textFill>
            <w14:solidFill>
              <w14:schemeClr w14:val="tx1"/>
            </w14:solidFill>
          </w14:textFill>
        </w:rPr>
        <w:t>一、主要职责</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贯彻执行有关城市管理行政执法方面的法律法规、规章规定。</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执法一大队主要职责：受县峨山彝族自治县综合行政执法局委托，以峨山彝族自治县综合行政执法局名义开展执法。对市容环境卫生管理、城市绿化管理、城市户外广告、城市照明、城市道路管理和其他市政设施管理以及城镇燃气管理的违法行为实施行政处罚；履行省、市、县赋予的其他综合行政执法事项的执法工作；负责组织取缔辖区内的自发市场、流动摊点和违章占道摊贩；负责全县数字化城市管理信息平台的建设、运行、管理和维护；承担12319城市管理服务热线的运行、维护和宣传工作；负责数字城管信息收集、案件建立、核查核实工作。完成县综合行政执法局交办的其他任务。</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执法二大队主要职责：受峨山彝族自治县自然资源局委托，以县自然资源局名义开展执法。负责宣传贯彻执行国家、省、市、县有关自然资源领域法律法规、规章制度和方针政策；组织实施自然资源卫片图斑执法检查，承担自然资源、国土空间规划和测绘执法监督巡查工作；负责自然资源、国土空间规划、测绘领域违法行为举报线索的受理、核实和处置工作；负责用地报批、土地供应、项目用地预审等现场执法勘察工作；依法查处县内重大自然资源、国土空间规划和测绘违法案件，承办上级交办督办的自然资源、国土空间规划和测绘重心违法案件。配合司法机关对涉嫌犯罪案件的调查和案件移送，配合纪检监察机关对违纪案件的协调处理。完成县综合行政执法局交办的其他任务。</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执法三大队主要职责：受峨山彝族自治县林业和草原局委托，以县林业和草原局名义开展执法。负责森林、草原、湿地、陆生野生动植物保护、自然保护地、森林草原防火、林草种苗、林草防治检疫、木材等执法工作，依法查处相关行政案件;依法行使法律、法规、规章规定赋予林业和草原领域的行政处罚及其相关的行政检查、行政强制等职责;负责林业和草原领域违法行为举报线索的受理、核实和处置工作;负责林业和草原综合行政执法中跨区域案件和上级交办的重大案件的查处工作;协助公安部门做好火灾案件的查处;配合委托机关开展林草督查图斑的核实工作，对有关违法行为进行查处。完成县综合行政执法局交办的其他任务。</w:t>
      </w:r>
    </w:p>
    <w:p>
      <w:pPr>
        <w:keepNext w:val="0"/>
        <w:keepLines w:val="0"/>
        <w:pageBreakBefore w:val="0"/>
        <w:numPr>
          <w:ilvl w:val="0"/>
          <w:numId w:val="0"/>
        </w:numPr>
        <w:kinsoku/>
        <w:wordWrap/>
        <w:overflowPunct/>
        <w:topLinePunct w:val="0"/>
        <w:autoSpaceDE/>
        <w:autoSpaceDN/>
        <w:bidi w:val="0"/>
        <w:adjustRightInd/>
        <w:spacing w:line="590" w:lineRule="exact"/>
        <w:ind w:firstLine="640" w:firstLineChars="200"/>
        <w:textAlignment w:val="auto"/>
        <w:outlineLvl w:val="1"/>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 xml:space="preserve"> 城市综合服务中心主要职责：负责城市街道与小区照明设施维护管理，街道霓虹灯广告设施维护管理，对各乡镇（街道）提出的路灯技术和管理问题提供相关的咨询和指导服务；承担县城规划区内城市道路、桥梁、隧道、给排水、照明等市政公用设施综合维护管养、服务职责；承担县城规划区内市政公用设施的安全隐患排查、治理具体工作，确保设施设备的正常运行；承担城市环境卫生设施运营与维护，环境卫生监督管理、城市环境卫生作业管理工作；负责县城城市园林绿化区的管理工作，依照《峨山县城市管理条例》的规定，督促建设单位使其绿地面积的比例按规定达标，按要求定期实施绿化并做好日常管护工作；承担城区公共绿地、草坪、花卉、乔木、灌木的栽植及养护工作；承担管理区域内各类园林绿化设施的维护与管理工作，统计上报城市园林绿化各类专业报表，收集整理园林绿化信息资料，组织园林绿化成果普查；承担园林绿化技术服务和从业人员的技能培训工作；承担古树名木保护工作，对古树名木挂牌建档，提供公园休闲娱乐场所，丰富人民群众文化生活；承担公园设施维护与管理，公园绿化管理，公园游览与娱乐项目组织管理工作；承担植物栽培与养护，科学知识普及、宣传及技术咨询服务工作。</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0"/>
        <w:rPr>
          <w:rFonts w:hint="default" w:ascii="Times New Roman" w:hAnsi="Times New Roman" w:eastAsia="方正黑体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方正黑体_GBK" w:cs="Times New Roman"/>
          <w:color w:val="000000" w:themeColor="text1"/>
          <w:sz w:val="32"/>
          <w:szCs w:val="32"/>
          <w:highlight w:val="none"/>
          <w:lang w:eastAsia="zh-CN"/>
          <w14:textFill>
            <w14:solidFill>
              <w14:schemeClr w14:val="tx1"/>
            </w14:solidFill>
          </w14:textFill>
        </w:rPr>
        <w:t>基本情况</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t>（一）机构设置情况</w:t>
      </w:r>
    </w:p>
    <w:p>
      <w:pPr>
        <w:keepNext w:val="0"/>
        <w:keepLines w:val="0"/>
        <w:pageBreakBefore w:val="0"/>
        <w:numPr>
          <w:ilvl w:val="0"/>
          <w:numId w:val="0"/>
        </w:numPr>
        <w:kinsoku/>
        <w:wordWrap/>
        <w:overflowPunct/>
        <w:topLinePunct w:val="0"/>
        <w:autoSpaceDE/>
        <w:autoSpaceDN/>
        <w:bidi w:val="0"/>
        <w:adjustRightInd/>
        <w:spacing w:line="590" w:lineRule="exact"/>
        <w:ind w:firstLine="640" w:firstLineChars="200"/>
        <w:textAlignment w:val="auto"/>
        <w:outlineLvl w:val="1"/>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eastAsia" w:eastAsia="方正仿宋_GBK" w:cs="Times New Roman"/>
          <w:color w:val="000000" w:themeColor="text1"/>
          <w:kern w:val="0"/>
          <w:sz w:val="32"/>
          <w:szCs w:val="32"/>
          <w:highlight w:val="none"/>
          <w:lang w:val="en-US" w:eastAsia="zh-CN"/>
          <w14:textFill>
            <w14:solidFill>
              <w14:schemeClr w14:val="tx1"/>
            </w14:solidFill>
          </w14:textFill>
        </w:rPr>
        <w:t>峨山彝族自治县综合行政执法局</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共设置3个内设机构，包括：综合办公室、市政管理股、政策法规股（行政审批股）。</w:t>
      </w:r>
    </w:p>
    <w:p>
      <w:pPr>
        <w:keepNext w:val="0"/>
        <w:keepLines w:val="0"/>
        <w:pageBreakBefore w:val="0"/>
        <w:numPr>
          <w:ilvl w:val="0"/>
          <w:numId w:val="0"/>
        </w:numPr>
        <w:kinsoku/>
        <w:wordWrap/>
        <w:overflowPunct/>
        <w:topLinePunct w:val="0"/>
        <w:autoSpaceDE/>
        <w:autoSpaceDN/>
        <w:bidi w:val="0"/>
        <w:adjustRightInd/>
        <w:spacing w:line="590" w:lineRule="exact"/>
        <w:ind w:firstLine="640" w:firstLineChars="200"/>
        <w:textAlignment w:val="auto"/>
        <w:outlineLvl w:val="1"/>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所属单位4个，分别是：</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bookmarkStart w:id="0" w:name="OLE_LINK1"/>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执法一大队</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执法二大队</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执法三大队</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城市综合服务中心</w:t>
      </w:r>
      <w:bookmarkEnd w:id="0"/>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t>（二）决算单位构成情况</w:t>
      </w:r>
    </w:p>
    <w:p>
      <w:pPr>
        <w:keepNext w:val="0"/>
        <w:keepLines w:val="0"/>
        <w:pageBreakBefore w:val="0"/>
        <w:numPr>
          <w:ilvl w:val="0"/>
          <w:numId w:val="0"/>
        </w:numPr>
        <w:kinsoku/>
        <w:wordWrap/>
        <w:overflowPunct/>
        <w:topLinePunct w:val="0"/>
        <w:autoSpaceDE/>
        <w:autoSpaceDN/>
        <w:bidi w:val="0"/>
        <w:adjustRightInd/>
        <w:spacing w:line="590" w:lineRule="exact"/>
        <w:ind w:firstLine="640" w:firstLineChars="200"/>
        <w:textAlignment w:val="auto"/>
        <w:outlineLvl w:val="1"/>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纳入</w:t>
      </w:r>
      <w:r>
        <w:rPr>
          <w:rFonts w:hint="eastAsia" w:eastAsia="方正仿宋_GBK" w:cs="Times New Roman"/>
          <w:color w:val="000000" w:themeColor="text1"/>
          <w:kern w:val="0"/>
          <w:sz w:val="32"/>
          <w:szCs w:val="32"/>
          <w:highlight w:val="none"/>
          <w:lang w:val="en-US" w:eastAsia="zh-CN"/>
          <w14:textFill>
            <w14:solidFill>
              <w14:schemeClr w14:val="tx1"/>
            </w14:solidFill>
          </w14:textFill>
        </w:rPr>
        <w:t>峨山彝族自治县综合行政执法局</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2024年度部门决算编报的单位共5个。其中：财政全额供给单位5个；差额供给单位0个；定额补助单位0个；自收自支单位0个。财政全额供给单位中行政单位1个；参公单位3个；事业单位1个。分别是：</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1.峨山彝族自治县综合行政执法局</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2.执法一大队</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3.执法二大队</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4.执法三大队</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5.城市综合服务中心</w:t>
      </w:r>
    </w:p>
    <w:p>
      <w:pPr>
        <w:keepNext w:val="0"/>
        <w:keepLines w:val="0"/>
        <w:pageBreakBefore w:val="0"/>
        <w:numPr>
          <w:ilvl w:val="0"/>
          <w:numId w:val="0"/>
        </w:numPr>
        <w:kinsoku/>
        <w:wordWrap/>
        <w:overflowPunct/>
        <w:topLinePunct w:val="0"/>
        <w:autoSpaceDE/>
        <w:autoSpaceDN/>
        <w:bidi w:val="0"/>
        <w:adjustRightInd/>
        <w:spacing w:line="590" w:lineRule="exact"/>
        <w:ind w:firstLine="640" w:firstLineChars="200"/>
        <w:textAlignment w:val="auto"/>
        <w:outlineLvl w:val="1"/>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纳入</w:t>
      </w:r>
      <w:r>
        <w:rPr>
          <w:rFonts w:hint="eastAsia" w:eastAsia="方正仿宋_GBK" w:cs="Times New Roman"/>
          <w:color w:val="000000" w:themeColor="text1"/>
          <w:kern w:val="0"/>
          <w:sz w:val="32"/>
          <w:szCs w:val="32"/>
          <w:highlight w:val="none"/>
          <w:lang w:val="en-US" w:eastAsia="zh-CN"/>
          <w14:textFill>
            <w14:solidFill>
              <w14:schemeClr w14:val="tx1"/>
            </w14:solidFill>
          </w14:textFill>
        </w:rPr>
        <w:t>峨山彝族自治县综合行政执法局</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2024年度部门决算编报的单位与</w:t>
      </w:r>
      <w:r>
        <w:rPr>
          <w:rFonts w:hint="eastAsia" w:eastAsia="方正仿宋_GBK" w:cs="Times New Roman"/>
          <w:color w:val="000000" w:themeColor="text1"/>
          <w:kern w:val="0"/>
          <w:sz w:val="32"/>
          <w:szCs w:val="32"/>
          <w:highlight w:val="none"/>
          <w:lang w:val="en-US" w:eastAsia="zh-CN"/>
          <w14:textFill>
            <w14:solidFill>
              <w14:schemeClr w14:val="tx1"/>
            </w14:solidFill>
          </w14:textFill>
        </w:rPr>
        <w:t>峨山彝族自治县综合行政执法局</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所属单位范围保持一致。</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t>（三）部门人员和车辆的编制及实有情况</w:t>
      </w:r>
    </w:p>
    <w:p>
      <w:pPr>
        <w:keepNext w:val="0"/>
        <w:keepLines w:val="0"/>
        <w:pageBreakBefore w:val="0"/>
        <w:numPr>
          <w:ilvl w:val="0"/>
          <w:numId w:val="0"/>
        </w:numPr>
        <w:kinsoku/>
        <w:wordWrap/>
        <w:overflowPunct/>
        <w:topLinePunct w:val="0"/>
        <w:autoSpaceDE/>
        <w:autoSpaceDN/>
        <w:bidi w:val="0"/>
        <w:adjustRightInd/>
        <w:spacing w:line="590" w:lineRule="exact"/>
        <w:ind w:firstLine="640" w:firstLineChars="200"/>
        <w:textAlignment w:val="auto"/>
        <w:outlineLvl w:val="1"/>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eastAsia" w:eastAsia="方正仿宋_GBK" w:cs="Times New Roman"/>
          <w:color w:val="000000" w:themeColor="text1"/>
          <w:kern w:val="0"/>
          <w:sz w:val="32"/>
          <w:szCs w:val="32"/>
          <w:highlight w:val="none"/>
          <w:lang w:val="en-US" w:eastAsia="zh-CN"/>
          <w14:textFill>
            <w14:solidFill>
              <w14:schemeClr w14:val="tx1"/>
            </w14:solidFill>
          </w14:textFill>
        </w:rPr>
        <w:t>峨山彝族自治县综合行政执法局</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2024年末编制内实有人员26人。包括财政拨款开支经费的：公务员11人，参照公务员法管理人员0人，事业管理人员和专业技术人员15人，机关和事业工人0人；经费自理人员0人。</w:t>
      </w:r>
    </w:p>
    <w:p>
      <w:pPr>
        <w:keepNext w:val="0"/>
        <w:keepLines w:val="0"/>
        <w:pageBreakBefore w:val="0"/>
        <w:numPr>
          <w:ilvl w:val="0"/>
          <w:numId w:val="0"/>
        </w:numPr>
        <w:kinsoku/>
        <w:wordWrap/>
        <w:overflowPunct/>
        <w:topLinePunct w:val="0"/>
        <w:autoSpaceDE/>
        <w:autoSpaceDN/>
        <w:bidi w:val="0"/>
        <w:adjustRightInd/>
        <w:spacing w:line="590" w:lineRule="exact"/>
        <w:ind w:firstLine="640" w:firstLineChars="200"/>
        <w:textAlignment w:val="auto"/>
        <w:outlineLvl w:val="1"/>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eastAsia" w:eastAsia="方正仿宋_GBK" w:cs="Times New Roman"/>
          <w:color w:val="000000" w:themeColor="text1"/>
          <w:kern w:val="0"/>
          <w:sz w:val="32"/>
          <w:szCs w:val="32"/>
          <w:highlight w:val="none"/>
          <w:lang w:val="en-US" w:eastAsia="zh-CN"/>
          <w14:textFill>
            <w14:solidFill>
              <w14:schemeClr w14:val="tx1"/>
            </w14:solidFill>
          </w14:textFill>
        </w:rPr>
        <w:t>峨山彝族自治县综合行政执法局</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2024年末其他人员147人。包括财政拨款开支经费的人员147人；经费自理人员0人。</w:t>
      </w:r>
    </w:p>
    <w:p>
      <w:pPr>
        <w:keepNext w:val="0"/>
        <w:keepLines w:val="0"/>
        <w:pageBreakBefore w:val="0"/>
        <w:numPr>
          <w:ilvl w:val="0"/>
          <w:numId w:val="0"/>
        </w:numPr>
        <w:kinsoku/>
        <w:wordWrap/>
        <w:overflowPunct/>
        <w:topLinePunct w:val="0"/>
        <w:autoSpaceDE/>
        <w:autoSpaceDN/>
        <w:bidi w:val="0"/>
        <w:adjustRightInd/>
        <w:spacing w:line="590" w:lineRule="exact"/>
        <w:ind w:firstLine="640" w:firstLineChars="200"/>
        <w:textAlignment w:val="auto"/>
        <w:outlineLvl w:val="1"/>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年末尚未移交养老保险基金发放养老金的离退休人员共计0人（离休0人，退休0人）。年末由养老保险基金发放养老金的离退休人员1人（离休0人，退休1人）。</w:t>
      </w:r>
    </w:p>
    <w:p>
      <w:pPr>
        <w:keepNext w:val="0"/>
        <w:keepLines w:val="0"/>
        <w:pageBreakBefore w:val="0"/>
        <w:numPr>
          <w:ilvl w:val="0"/>
          <w:numId w:val="0"/>
        </w:numPr>
        <w:kinsoku/>
        <w:wordWrap/>
        <w:overflowPunct/>
        <w:topLinePunct w:val="0"/>
        <w:autoSpaceDE/>
        <w:autoSpaceDN/>
        <w:bidi w:val="0"/>
        <w:adjustRightInd/>
        <w:spacing w:line="590" w:lineRule="exact"/>
        <w:ind w:firstLine="640" w:firstLineChars="200"/>
        <w:textAlignment w:val="auto"/>
        <w:outlineLvl w:val="1"/>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车辆编制2辆，在编实有车辆8辆，超编6辆。（超编车辆主要为环卫</w:t>
      </w:r>
      <w:r>
        <w:rPr>
          <w:rFonts w:hint="eastAsia" w:eastAsia="方正仿宋_GBK" w:cs="Times New Roman"/>
          <w:color w:val="000000" w:themeColor="text1"/>
          <w:kern w:val="0"/>
          <w:sz w:val="32"/>
          <w:szCs w:val="32"/>
          <w:highlight w:val="none"/>
          <w:lang w:val="en-US" w:eastAsia="zh-CN"/>
          <w14:textFill>
            <w14:solidFill>
              <w14:schemeClr w14:val="tx1"/>
            </w14:solidFill>
          </w14:textFill>
        </w:rPr>
        <w:t>保洁垃圾车</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、绿化</w:t>
      </w:r>
      <w:r>
        <w:rPr>
          <w:rFonts w:hint="eastAsia" w:eastAsia="方正仿宋_GBK" w:cs="Times New Roman"/>
          <w:color w:val="000000" w:themeColor="text1"/>
          <w:kern w:val="0"/>
          <w:sz w:val="32"/>
          <w:szCs w:val="32"/>
          <w:highlight w:val="none"/>
          <w:lang w:val="en-US" w:eastAsia="zh-CN"/>
          <w14:textFill>
            <w14:solidFill>
              <w14:schemeClr w14:val="tx1"/>
            </w14:solidFill>
          </w14:textFill>
        </w:rPr>
        <w:t>喷洒车</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、路灯</w:t>
      </w:r>
      <w:r>
        <w:rPr>
          <w:rFonts w:hint="eastAsia" w:eastAsia="方正仿宋_GBK" w:cs="Times New Roman"/>
          <w:color w:val="000000" w:themeColor="text1"/>
          <w:kern w:val="0"/>
          <w:sz w:val="32"/>
          <w:szCs w:val="32"/>
          <w:highlight w:val="none"/>
          <w:lang w:val="en-US" w:eastAsia="zh-CN"/>
          <w14:textFill>
            <w14:solidFill>
              <w14:schemeClr w14:val="tx1"/>
            </w14:solidFill>
          </w14:textFill>
        </w:rPr>
        <w:t>作业车辆</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及城管执法电瓶车</w:t>
      </w:r>
      <w:r>
        <w:rPr>
          <w:rFonts w:hint="eastAsia" w:eastAsia="方正仿宋_GBK" w:cs="Times New Roman"/>
          <w:color w:val="000000" w:themeColor="text1"/>
          <w:kern w:val="0"/>
          <w:sz w:val="32"/>
          <w:szCs w:val="32"/>
          <w:highlight w:val="none"/>
          <w:lang w:val="en-US" w:eastAsia="zh-CN"/>
          <w14:textFill>
            <w14:solidFill>
              <w14:schemeClr w14:val="tx1"/>
            </w14:solidFill>
          </w14:textFill>
        </w:rPr>
        <w:t>辆</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0"/>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三、重点工作概述</w:t>
      </w:r>
    </w:p>
    <w:p>
      <w:pPr>
        <w:keepNext w:val="0"/>
        <w:keepLines w:val="0"/>
        <w:pageBreakBefore w:val="0"/>
        <w:numPr>
          <w:ilvl w:val="0"/>
          <w:numId w:val="0"/>
        </w:numPr>
        <w:kinsoku/>
        <w:wordWrap/>
        <w:overflowPunct/>
        <w:topLinePunct w:val="0"/>
        <w:autoSpaceDE/>
        <w:autoSpaceDN/>
        <w:bidi w:val="0"/>
        <w:adjustRightInd/>
        <w:spacing w:line="590" w:lineRule="exact"/>
        <w:ind w:firstLine="640" w:firstLineChars="200"/>
        <w:textAlignment w:val="auto"/>
        <w:outlineLvl w:val="1"/>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常态化开展城区环卫工作。完成环卫清扫保洁，县城市生活垃圾处理场运营平稳。2024年县城建成区生活垃圾产生量平均为91.29吨/日，产生33,411.06吨，处理量为33,411.06吨，做到生活垃圾日产日清，100%无害化处理生活垃圾处理符合相关标准，生活垃圾无裸露堆积。科学化管理城市照明设施。开展日常绿化管护工作。高质量完成县城建成区223,835.00㎡的绿地和20,000.00余株乔木的浇水、松土、除草、施肥、病虫害防治及整形修剪等日常养护及卫生保洁工作，做好公园和绿地的防火、防盗、防破坏等管理工作。长效化开展市政公用设施维护管理。污水达标排放，2024年处理污水3,224,822.00吨，平均处理规模为8810.99m3/d，城市生活污水处理率预计达98.3%。城市供水安全稳定。全县供水人口约41,000.00万人，平均每天供水量约为9,000.00吨/天。2024年供水2,901,800.00</w:t>
      </w:r>
      <w:r>
        <w:rPr>
          <w:rFonts w:hint="eastAsia" w:eastAsia="方正仿宋_GBK" w:cs="Times New Roman"/>
          <w:color w:val="000000" w:themeColor="text1"/>
          <w:kern w:val="0"/>
          <w:sz w:val="32"/>
          <w:szCs w:val="32"/>
          <w:highlight w:val="none"/>
          <w:lang w:val="en-US" w:eastAsia="zh-CN"/>
          <w14:textFill>
            <w14:solidFill>
              <w14:schemeClr w14:val="tx1"/>
            </w14:solidFill>
          </w14:textFill>
        </w:rPr>
        <w:t>立方</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收取水费1,219,672.67元。精细化推进综合行政执法工作。疏堵结合开展城区占道经营和流动摊贩整治。设置嶍峨时代广场、双二小等临时摊点8处，引导流动商贩至指定区域开展临时经营活动，有效促进城区文明经营。2024年，共整治出店经营17户、无照经营游商3,516起、占道经营3,132起，拆除布标45条，审批各类占道206起，查处违反城市管理的行为10起，罚款金额1,250元，主要涉及运输渣土泼洒、占道经营等。查处林草违法案件36件，移送公安机关案件3件，涉及滥伐林木、擅自开垦林地、改变林地用途、违反森林防火法规等。查处自然资源违法案件22件，罚款金额65,069.40元。</w:t>
      </w:r>
    </w:p>
    <w:p>
      <w:pPr>
        <w:keepNext w:val="0"/>
        <w:keepLines w:val="0"/>
        <w:pageBreakBefore w:val="0"/>
        <w:kinsoku/>
        <w:wordWrap/>
        <w:overflowPunct/>
        <w:topLinePunct w:val="0"/>
        <w:autoSpaceDE/>
        <w:autoSpaceDN/>
        <w:bidi w:val="0"/>
        <w:adjustRightInd/>
        <w:spacing w:line="590" w:lineRule="exact"/>
        <w:jc w:val="left"/>
        <w:textAlignment w:val="auto"/>
        <w:rPr>
          <w:rFonts w:hint="default" w:ascii="Times New Roman" w:hAnsi="Times New Roman" w:eastAsia="仿宋_GB2312" w:cs="Times New Roman"/>
          <w:color w:val="000000" w:themeColor="text1"/>
          <w:kern w:val="0"/>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pacing w:line="590" w:lineRule="exact"/>
        <w:ind w:firstLine="640" w:firstLineChars="200"/>
        <w:jc w:val="center"/>
        <w:textAlignment w:val="auto"/>
        <w:outlineLvl w:val="0"/>
        <w:rPr>
          <w:rFonts w:hint="default"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t>第二部分  2024年度部门决算表</w:t>
      </w:r>
    </w:p>
    <w:p>
      <w:pPr>
        <w:keepNext w:val="0"/>
        <w:keepLines w:val="0"/>
        <w:pageBreakBefore w:val="0"/>
        <w:kinsoku/>
        <w:wordWrap/>
        <w:overflowPunct/>
        <w:topLinePunct w:val="0"/>
        <w:autoSpaceDE/>
        <w:autoSpaceDN/>
        <w:bidi w:val="0"/>
        <w:adjustRightInd/>
        <w:spacing w:line="590" w:lineRule="exact"/>
        <w:ind w:firstLine="640" w:firstLineChars="200"/>
        <w:jc w:val="center"/>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（详见附件）</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峨山彝族自治县综合行政执法局2024年度无国有资本经营预算财政拨款收入，《国有资本经营预算财政拨款收入支出决算表》</w:t>
      </w:r>
      <w:r>
        <w:rPr>
          <w:rFonts w:hint="eastAsia"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14:textFill>
            <w14:solidFill>
              <w14:schemeClr w14:val="tx1"/>
            </w14:solidFill>
          </w14:textFill>
        </w:rPr>
        <w:t>《政府性基金预算财政拨款收入支出决算表》为空表。</w:t>
      </w:r>
    </w:p>
    <w:p>
      <w:pPr>
        <w:keepNext w:val="0"/>
        <w:keepLines w:val="0"/>
        <w:pageBreakBefore w:val="0"/>
        <w:kinsoku/>
        <w:wordWrap/>
        <w:overflowPunct/>
        <w:topLinePunct w:val="0"/>
        <w:autoSpaceDE/>
        <w:autoSpaceDN/>
        <w:bidi w:val="0"/>
        <w:adjustRightInd/>
        <w:spacing w:line="590" w:lineRule="exact"/>
        <w:ind w:firstLine="640" w:firstLineChars="200"/>
        <w:jc w:val="center"/>
        <w:textAlignment w:val="auto"/>
        <w:outlineLvl w:val="0"/>
        <w:rPr>
          <w:rFonts w:hint="default"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32"/>
          <w:szCs w:val="32"/>
          <w:highlight w:val="none"/>
          <w:lang w:val="en-US" w:eastAsia="zh-CN"/>
          <w14:textFill>
            <w14:solidFill>
              <w14:schemeClr w14:val="tx1"/>
            </w14:solidFill>
          </w14:textFill>
        </w:rPr>
        <w:t>第三部分  2024年度部门决算情况说明</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0"/>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一、收入决算情况说明</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峨山彝族自治县综合行政执法局</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2024年度收入合计</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909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700.29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元。其中：财政拨款收入</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909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700.29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元，占总收入的</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100.00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%；上级补助收入</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元，占总收入的</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%；事业收入</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元（含教育收费</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元），占总收入的</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%；经营收入</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元，占总收入的</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%；附属单位上缴收入</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元，占总收入的</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%；其他收入</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元，占总收入的</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与上年相比，收入合计增加</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909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700.29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元，增长100.00%。其中：财政拨款收入增加</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909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700.29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元，增长100.00%；上级补助收入增加0.00元，增长0.00%；事业收入增加0.00元，增长0.00%；经营收入增加0.00元，增长0.00%；附属单位上缴收入增加0.00元，增长0.00%；其他收入增加0.00元，增长0.00%。主要原因为</w:t>
      </w:r>
      <w:r>
        <w:rPr>
          <w:rFonts w:hint="eastAsia" w:eastAsia="方正仿宋_GBK" w:cs="Times New Roman"/>
          <w:color w:val="000000" w:themeColor="text1"/>
          <w:kern w:val="0"/>
          <w:sz w:val="32"/>
          <w:szCs w:val="32"/>
          <w:highlight w:val="none"/>
          <w:lang w:val="en-US" w:eastAsia="zh-CN"/>
          <w14:textFill>
            <w14:solidFill>
              <w14:schemeClr w14:val="tx1"/>
            </w14:solidFill>
          </w14:textFill>
        </w:rPr>
        <w:t>峨山彝族自治县综合行政执法局</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2024年3月25日正式挂牌成立，无前期数据。</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0"/>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二、支出决算情况说明</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峨山彝族自治县综合行政执法局</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2024</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年度支出合计7</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909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700.29元。其中：基本支出6</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869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700.29元，占总支出的86.85％；项目支出1</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040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000.00元，占总支出的13.15％；上缴上级支出0.00元，占总支出的0.00％；经营支出0.00元，占总支出的0.00％；对附属单位补助支出0.00元，占总支出的0.00％。</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与上年相比，支出合计增加7</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909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700.29元，增长</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100</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%。其中：基本支出增加6</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869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700.29元，增长</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100.00</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%；项目支出增加1</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040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000.00元，增长</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100.00</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%；上缴上级支出增加</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元，增长</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%；经营支出增加</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元，增长</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%；对附属单位补助支出增</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元，增长</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主要原因为</w:t>
      </w:r>
      <w:r>
        <w:rPr>
          <w:rFonts w:hint="eastAsia" w:eastAsia="方正仿宋_GBK" w:cs="Times New Roman"/>
          <w:color w:val="000000" w:themeColor="text1"/>
          <w:kern w:val="0"/>
          <w:sz w:val="32"/>
          <w:szCs w:val="32"/>
          <w:highlight w:val="none"/>
          <w:lang w:val="en-US" w:eastAsia="zh-CN"/>
          <w14:textFill>
            <w14:solidFill>
              <w14:schemeClr w14:val="tx1"/>
            </w14:solidFill>
          </w14:textFill>
        </w:rPr>
        <w:t>峨山彝族自治县综合行政执法局</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2024年3月25日正式挂牌成立，无前期数据。</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t>（一）基本支出情况</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2024</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年度用于保障峨山彝族自治县综合行政执法局机关、下属事业单位等机构正常运转的日常支出6</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869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700.29元。其中：基本工资、津贴补贴等人员经费支出3</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706</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558.09元，占基本支出的53.96％；办公费、印刷费、水电费、办公设备购置等公用经费3</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163</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142.20元，占基本支出的46.04％。</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t>（二）项目支出情况</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2024年度用于保障</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峨山彝族自治县综合行政执法局</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机关、下属事业单位等机构为完成特定的行政工作任务或事业发展目标，用于专项业务工作的经费支出</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1</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040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000.00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元。其中：基本建设类项目支出</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污水处理费项目经费840,000.00元，主要用于拨付将确保污水处理厂全年正常生产运营，有效提升污水处理厂处理负荷的同时保证污水处理厂全年出水达到《城镇污水处理厂污染物排放标准》GB18918-2002一级A排放标准，有效削减进入自然水体的污染负荷，确保猊江河流域省控断面考核达标。此外，污水处理厂全年正常运营将累计完成全县90%的减排任务指标，为峨山县水环境质量改善及可持续发展做出巨大贡献。</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峨山县城市生活垃圾填埋场设备项目经费100</w:t>
      </w:r>
      <w:bookmarkStart w:id="1" w:name="OLE_LINK2"/>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bookmarkEnd w:id="1"/>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000.00元，主要用于：购置污水处理站出水口水质自动在线监测设备、 渗滤液处理设备（各 1 套） 。</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峨山县城市生活垃圾填埋场设备运维费用项目目经费100,000.00元，主要用于渗滤液处理设备运营维护费，城市生活垃圾处理事关人民群众的切身利益；项目的实施可以提升人居环境质量，保护周边生态环境良性循环；保护环境，防止污染；改善环境。</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0"/>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三、一般公共预算财政拨款支出决算情况说明</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t>（一）一般公共预算财政拨款支出决算总体情况</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峨山彝族自治县综合行政执法局</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2024年度一般公共预算财政拨款支出</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909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700.29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元,占本年支出合计的</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100.00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%。与上年相比增加</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909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700.29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增长</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100.00</w:t>
      </w:r>
      <w:r>
        <w:rPr>
          <w:rFonts w:hint="default"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highlight w:val="none"/>
          <w:lang w:val="zh-CN"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主要原因为</w:t>
      </w:r>
      <w:r>
        <w:rPr>
          <w:rFonts w:hint="eastAsia" w:eastAsia="方正仿宋_GBK" w:cs="Times New Roman"/>
          <w:color w:val="000000" w:themeColor="text1"/>
          <w:kern w:val="0"/>
          <w:sz w:val="32"/>
          <w:szCs w:val="32"/>
          <w:highlight w:val="none"/>
          <w:lang w:val="en-US" w:eastAsia="zh-CN"/>
          <w14:textFill>
            <w14:solidFill>
              <w14:schemeClr w14:val="tx1"/>
            </w14:solidFill>
          </w14:textFill>
        </w:rPr>
        <w:t>峨山彝族自治县综合行政执法局</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2024年3月25日正式挂牌成立，无前期数据。</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lang w:eastAsia="zh-CN"/>
          <w14:textFill>
            <w14:solidFill>
              <w14:schemeClr w14:val="tx1"/>
            </w14:solidFill>
          </w14:textFill>
        </w:rPr>
        <w:t>（二）一般公共预算财政拨款支出决算分功能分类科目情况</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1.一般公共服务（类）支出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2.外交（类）支出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3.国防（类）支出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4.公共安全（类）支出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5.教育（类）支出</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元，</w:t>
      </w:r>
      <w:r>
        <w:rPr>
          <w:rFonts w:hint="default" w:ascii="Times New Roman" w:hAnsi="Times New Roman" w:eastAsia="方正仿宋_GBK" w:cs="Times New Roman"/>
          <w:color w:val="000000" w:themeColor="text1"/>
          <w:sz w:val="32"/>
          <w:szCs w:val="32"/>
          <w:lang w:val="en-US"/>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0.00</w:t>
      </w:r>
      <w:r>
        <w:rPr>
          <w:rFonts w:hint="default" w:ascii="Times New Roman" w:hAnsi="Times New Roman" w:eastAsia="方正仿宋_GBK" w:cs="Times New Roman"/>
          <w:color w:val="000000" w:themeColor="text1"/>
          <w:sz w:val="32"/>
          <w:szCs w:val="32"/>
          <w:lang w:val="en-US"/>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6.科学技术（类）支出</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元，</w:t>
      </w:r>
      <w:r>
        <w:rPr>
          <w:rFonts w:hint="default" w:ascii="Times New Roman" w:hAnsi="Times New Roman" w:eastAsia="方正仿宋_GBK" w:cs="Times New Roman"/>
          <w:color w:val="000000" w:themeColor="text1"/>
          <w:sz w:val="32"/>
          <w:szCs w:val="32"/>
          <w:lang w:val="en-US"/>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0.00</w:t>
      </w:r>
      <w:r>
        <w:rPr>
          <w:rFonts w:hint="default" w:ascii="Times New Roman" w:hAnsi="Times New Roman" w:eastAsia="方正仿宋_GBK" w:cs="Times New Roman"/>
          <w:color w:val="000000" w:themeColor="text1"/>
          <w:sz w:val="32"/>
          <w:szCs w:val="32"/>
          <w:lang w:val="en-US"/>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7.文化旅游体育与传媒（类）支出</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元，</w:t>
      </w:r>
      <w:r>
        <w:rPr>
          <w:rFonts w:hint="default" w:ascii="Times New Roman" w:hAnsi="Times New Roman" w:eastAsia="方正仿宋_GBK" w:cs="Times New Roman"/>
          <w:color w:val="000000" w:themeColor="text1"/>
          <w:sz w:val="32"/>
          <w:szCs w:val="32"/>
          <w:lang w:val="en-US"/>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0.00</w:t>
      </w:r>
      <w:r>
        <w:rPr>
          <w:rFonts w:hint="default" w:ascii="Times New Roman" w:hAnsi="Times New Roman" w:eastAsia="方正仿宋_GBK" w:cs="Times New Roman"/>
          <w:color w:val="000000" w:themeColor="text1"/>
          <w:sz w:val="32"/>
          <w:szCs w:val="32"/>
          <w:lang w:val="en-US"/>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8.社会保障和就业（类）支出</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266</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996.44</w:t>
      </w: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元，</w:t>
      </w:r>
      <w:r>
        <w:rPr>
          <w:rFonts w:hint="default" w:ascii="Times New Roman" w:hAnsi="Times New Roman" w:eastAsia="方正仿宋_GBK" w:cs="Times New Roman"/>
          <w:color w:val="000000" w:themeColor="text1"/>
          <w:sz w:val="32"/>
          <w:szCs w:val="32"/>
          <w:lang w:val="en-US"/>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3.38</w:t>
      </w:r>
      <w:r>
        <w:rPr>
          <w:rFonts w:hint="default" w:ascii="Times New Roman" w:hAnsi="Times New Roman" w:eastAsia="方正仿宋_GBK" w:cs="Times New Roman"/>
          <w:color w:val="000000" w:themeColor="text1"/>
          <w:sz w:val="32"/>
          <w:szCs w:val="32"/>
          <w:lang w:val="en-US"/>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主要用于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行政单位离退休、机关事业单位基本养老保险缴费支出。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9.卫生健康（类）支出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144</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453.16</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1.83</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主要用于</w:t>
      </w:r>
      <w:r>
        <w:rPr>
          <w:rFonts w:hint="default" w:ascii="Times New Roman" w:hAnsi="Times New Roman" w:eastAsia="方正仿宋_GBK" w:cs="Times New Roman"/>
          <w:color w:val="000000" w:themeColor="text1"/>
          <w:sz w:val="32"/>
          <w:szCs w:val="32"/>
          <w:lang w:val="en-US"/>
          <w14:textFill>
            <w14:solidFill>
              <w14:schemeClr w14:val="tx1"/>
            </w14:solidFill>
          </w14:textFill>
        </w:rPr>
        <w:t>行政单位医疗保险、事业单位医疗保险</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等支出</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10.节能环保（类）支出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840</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10.62</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主要用于峨山县污水处理费支出</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11.城乡社区（类）支出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6</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608</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405.69</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83.55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bookmarkStart w:id="2" w:name="_GoBack"/>
      <w:bookmarkEnd w:id="2"/>
      <w:r>
        <w:rPr>
          <w:rFonts w:hint="default" w:ascii="Times New Roman" w:hAnsi="Times New Roman" w:eastAsia="方正仿宋_GBK" w:cs="Times New Roman"/>
          <w:color w:val="000000" w:themeColor="text1"/>
          <w:sz w:val="32"/>
          <w:szCs w:val="32"/>
          <w:lang w:val="en-US"/>
          <w14:textFill>
            <w14:solidFill>
              <w14:schemeClr w14:val="tx1"/>
            </w14:solidFill>
          </w14:textFill>
        </w:rPr>
        <w:t>主要用于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编外人员</w:t>
      </w:r>
      <w:r>
        <w:rPr>
          <w:rFonts w:hint="default" w:ascii="Times New Roman" w:hAnsi="Times New Roman" w:eastAsia="方正仿宋_GBK" w:cs="Times New Roman"/>
          <w:color w:val="000000" w:themeColor="text1"/>
          <w:sz w:val="32"/>
          <w:szCs w:val="32"/>
          <w:lang w:val="en-US"/>
          <w14:textFill>
            <w14:solidFill>
              <w14:schemeClr w14:val="tx1"/>
            </w14:solidFill>
          </w14:textFill>
        </w:rPr>
        <w:t>工资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、社保</w:t>
      </w:r>
      <w:r>
        <w:rPr>
          <w:rFonts w:hint="default" w:ascii="Times New Roman" w:hAnsi="Times New Roman" w:eastAsia="方正仿宋_GBK" w:cs="Times New Roman"/>
          <w:color w:val="000000" w:themeColor="text1"/>
          <w:sz w:val="32"/>
          <w:szCs w:val="32"/>
          <w:lang w:val="en-US"/>
          <w14:textFill>
            <w14:solidFill>
              <w14:schemeClr w14:val="tx1"/>
            </w14:solidFill>
          </w14:textFill>
        </w:rPr>
        <w:t>支出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14:textFill>
            <w14:solidFill>
              <w14:schemeClr w14:val="tx1"/>
            </w14:solidFill>
          </w14:textFill>
        </w:rPr>
        <w:t>事业人员失业保险</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12.农林水（类）支出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13.交通运输（类）支出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14.资源勘探工业信息等（类）支出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15.商业服务业等（类）支出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16.金融（类）支出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17.援助其他地区（类）支出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18.自然资源海洋气象等（类）支出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19.住房保障（类）支出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49</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845.00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0.63</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年初无此项预算</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主要用于</w:t>
      </w:r>
      <w:r>
        <w:rPr>
          <w:rFonts w:hint="default" w:ascii="Times New Roman" w:hAnsi="Times New Roman" w:eastAsia="方正仿宋_GBK" w:cs="Times New Roman"/>
          <w:color w:val="000000" w:themeColor="text1"/>
          <w:sz w:val="32"/>
          <w:szCs w:val="32"/>
          <w:lang w:val="en-US"/>
          <w14:textFill>
            <w14:solidFill>
              <w14:schemeClr w14:val="tx1"/>
            </w14:solidFill>
          </w14:textFill>
        </w:rPr>
        <w:t>主要用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行政事业人员住房公积金支出。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20.粮油物资储备（类）支出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21.国有资本经营预算（类）支出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22.灾害防治及应急管理（类）支出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23.其他（类）支出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24.债务还本（类）支出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25.债务付息（类）支出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t>26.抗疫特别国债安排（类）支出</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占一般公共预算财政拨款总支出的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完成年初预算的</w:t>
      </w:r>
      <w:r>
        <w:rPr>
          <w:rFonts w:hint="default" w:ascii="Times New Roman" w:hAnsi="Times New Roman" w:eastAsia="方正仿宋_GBK" w:cs="Times New Roman"/>
          <w:color w:val="000000" w:themeColor="text1"/>
          <w:kern w:val="0"/>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adjustRightInd/>
        <w:snapToGrid w:val="0"/>
        <w:spacing w:before="100" w:after="100" w:line="590" w:lineRule="exact"/>
        <w:ind w:firstLine="640" w:firstLineChars="200"/>
        <w:jc w:val="left"/>
        <w:textAlignment w:val="auto"/>
        <w:outlineLvl w:val="1"/>
        <w:rPr>
          <w:rFonts w:hint="default" w:ascii="Times New Roman" w:hAnsi="Times New Roman" w:eastAsia="方正黑体_GBK" w:cs="Times New Roman"/>
          <w:color w:val="000000" w:themeColor="text1"/>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14:textFill>
            <w14:solidFill>
              <w14:schemeClr w14:val="tx1"/>
            </w14:solidFill>
          </w14:textFill>
        </w:rPr>
        <w:t>财政拨款“三公”经费支出决算情况说明</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default" w:ascii="Times New Roman" w:hAnsi="Times New Roman" w:eastAsia="方正楷体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lang w:val="en-US" w:eastAsia="zh-CN"/>
          <w14:textFill>
            <w14:solidFill>
              <w14:schemeClr w14:val="tx1"/>
            </w14:solidFill>
          </w14:textFill>
        </w:rPr>
        <w:t>（一）总体情况</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2024</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年度财政拨款“三公”经费支出决算中，财政拨款“三公”经费支出</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年初</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预算为</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元，决算为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2</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14:textFill>
            <w14:solidFill>
              <w14:schemeClr w14:val="tx1"/>
            </w14:solidFill>
          </w14:textFill>
        </w:rPr>
        <w:t>620.78</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主要原因为</w:t>
      </w:r>
      <w:r>
        <w:rPr>
          <w:rFonts w:hint="eastAsia" w:eastAsia="方正仿宋_GBK" w:cs="Times New Roman"/>
          <w:color w:val="000000" w:themeColor="text1"/>
          <w:kern w:val="0"/>
          <w:sz w:val="32"/>
          <w:szCs w:val="32"/>
          <w:highlight w:val="none"/>
          <w:lang w:val="en-US" w:eastAsia="zh-CN"/>
          <w14:textFill>
            <w14:solidFill>
              <w14:schemeClr w14:val="tx1"/>
            </w14:solidFill>
          </w14:textFill>
        </w:rPr>
        <w:t>峨山彝族自治县综合行政执法局</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2024年3月25日正式挂牌成立，所以无年初预算。</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因公出国（境）费支出</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年初</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预算为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，决算为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元，占财政拨款“三公”经费</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总支出决算的</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%；公务用车购置费支出</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年初</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预算为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，决算为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元，占财政拨款“三公”经费</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总支出决算的</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%；公务用车</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运行维护</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费支出</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年初</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预算为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，决算为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2</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14:textFill>
            <w14:solidFill>
              <w14:schemeClr w14:val="tx1"/>
            </w14:solidFill>
          </w14:textFill>
        </w:rPr>
        <w:t>620.78</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元，占财政拨款“三公”经费</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总支出决算的</w:t>
      </w:r>
      <w:r>
        <w:rPr>
          <w:rFonts w:hint="default" w:ascii="Times New Roman" w:hAnsi="Times New Roman" w:eastAsia="方正仿宋_GBK" w:cs="Times New Roman"/>
          <w:color w:val="000000" w:themeColor="text1"/>
          <w:sz w:val="32"/>
          <w:szCs w:val="32"/>
          <w:lang w:val="zh-CN"/>
          <w14:textFill>
            <w14:solidFill>
              <w14:schemeClr w14:val="tx1"/>
            </w14:solidFill>
          </w14:textFill>
        </w:rPr>
        <w:t>100.00</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公务接待费支出</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年初</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预算为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，决算为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元，占财政拨款“三公”经费</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总支出决算的</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因公出国（境）费</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支出决算较上年增加</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0.00元，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上年无此项支出</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公务用车购置费</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支出决算较上年增加</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0.00元，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上年无此项支出</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公务用车</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运行维护费</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支出决算较上年增加</w:t>
      </w:r>
      <w:r>
        <w:rPr>
          <w:rFonts w:hint="default" w:ascii="Times New Roman" w:hAnsi="Times New Roman" w:eastAsia="方正仿宋_GBK" w:cs="Times New Roman"/>
          <w:color w:val="000000" w:themeColor="text1"/>
          <w:sz w:val="32"/>
          <w:szCs w:val="32"/>
          <w:lang w:val="zh-CN"/>
          <w14:textFill>
            <w14:solidFill>
              <w14:schemeClr w14:val="tx1"/>
            </w14:solidFill>
          </w14:textFill>
        </w:rPr>
        <w:t>2</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14:textFill>
            <w14:solidFill>
              <w14:schemeClr w14:val="tx1"/>
            </w14:solidFill>
          </w14:textFill>
        </w:rPr>
        <w:t>620.78</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元</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元，增长100.00%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公务接待费</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支出决算较上年增加</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0.00元，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上年无此项支出</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；具体是国内接待费支出决算</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元（其中：外事接待费支出决算</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上年无此项支出；</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国（境）外接待费支出决算</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上年无此项支出</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default" w:ascii="Times New Roman" w:hAnsi="Times New Roman" w:eastAsia="方正楷体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lang w:val="en-US" w:eastAsia="zh-CN"/>
          <w14:textFill>
            <w14:solidFill>
              <w14:schemeClr w14:val="tx1"/>
            </w14:solidFill>
          </w14:textFill>
        </w:rPr>
        <w:t>（二）一般公共预算财政拨款“三公”经费支出决算情况说明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2024</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年度一般公共预算财政拨款“三公”经费支出</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年初</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预算为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，支出决算为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2</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14:textFill>
            <w14:solidFill>
              <w14:schemeClr w14:val="tx1"/>
            </w14:solidFill>
          </w14:textFill>
        </w:rPr>
        <w:t>620.78</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上年无此项支出</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一般公共预算财政拨款“三公”经费支出</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中：</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因公出国（境）费支出</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年</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初</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预算为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，决算为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；公务用车购置费支出</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年</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初</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预算为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，决算为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，；公务用车</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运行维护费</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支出</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年</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初</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预算为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，决算为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2</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14:textFill>
            <w14:solidFill>
              <w14:schemeClr w14:val="tx1"/>
            </w14:solidFill>
          </w14:textFill>
        </w:rPr>
        <w:t>620.78</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；公务接待费支出</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年</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初</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预算为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，决算为</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2024</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年度一般公共预算财政拨款“三公”经费支出决算数大于</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年初</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预算数的</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主要原因为</w:t>
      </w:r>
      <w:r>
        <w:rPr>
          <w:rFonts w:hint="eastAsia" w:eastAsia="方正仿宋_GBK" w:cs="Times New Roman"/>
          <w:color w:val="000000" w:themeColor="text1"/>
          <w:kern w:val="0"/>
          <w:sz w:val="32"/>
          <w:szCs w:val="32"/>
          <w:highlight w:val="none"/>
          <w:lang w:val="en-US" w:eastAsia="zh-CN"/>
          <w14:textFill>
            <w14:solidFill>
              <w14:schemeClr w14:val="tx1"/>
            </w14:solidFill>
          </w14:textFill>
        </w:rPr>
        <w:t>峨山彝族自治县综合行政执法局</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2024年3月25日正式挂牌成立，所以无年初预算。</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一般公共预算财政拨款“三公”经费支出</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中：</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因公出国（境）费支出决算增加</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上年无此项支出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；公务用车购置费支出决算增加</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上年无此项支出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；公务用车</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运行维护费</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支出决算增加</w:t>
      </w:r>
      <w:r>
        <w:rPr>
          <w:rFonts w:hint="default" w:ascii="Times New Roman" w:hAnsi="Times New Roman" w:eastAsia="方正仿宋_GBK" w:cs="Times New Roman"/>
          <w:color w:val="000000" w:themeColor="text1"/>
          <w:sz w:val="32"/>
          <w:szCs w:val="32"/>
          <w:lang w:val="zh-CN"/>
          <w14:textFill>
            <w14:solidFill>
              <w14:schemeClr w14:val="tx1"/>
            </w14:solidFill>
          </w14:textFill>
        </w:rPr>
        <w:t>2</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14:textFill>
            <w14:solidFill>
              <w14:schemeClr w14:val="tx1"/>
            </w14:solidFill>
          </w14:textFill>
        </w:rPr>
        <w:t>620.78</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上年无此项支出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；公务接待费支出决算增加</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0.00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上年无此项支出，</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具体是国内接待费支出决算</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元（其中：外事接待费支出决算</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元），较上年增加</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0.00元，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上年无此项支出；</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国（境）外接待费支出决算</w:t>
      </w:r>
      <w:r>
        <w:rPr>
          <w:rFonts w:hint="default" w:ascii="Times New Roman" w:hAnsi="Times New Roman" w:eastAsia="方正仿宋_GBK" w:cs="Times New Roman"/>
          <w:color w:val="000000" w:themeColor="text1"/>
          <w:sz w:val="32"/>
          <w:szCs w:val="32"/>
          <w:lang w:val="zh-CN"/>
          <w14:textFill>
            <w14:solidFill>
              <w14:schemeClr w14:val="tx1"/>
            </w14:solidFill>
          </w14:textFill>
        </w:rPr>
        <w:t>0.00</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元较上年增加</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0.00元，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上年无此项支出</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2024</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年度一般公共预算财政拨款“三公”经费支出决算增加</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主要原因为</w:t>
      </w:r>
      <w:r>
        <w:rPr>
          <w:rFonts w:hint="eastAsia" w:eastAsia="方正仿宋_GBK" w:cs="Times New Roman"/>
          <w:color w:val="000000" w:themeColor="text1"/>
          <w:kern w:val="0"/>
          <w:sz w:val="32"/>
          <w:szCs w:val="32"/>
          <w:highlight w:val="none"/>
          <w:lang w:val="en-US" w:eastAsia="zh-CN"/>
          <w14:textFill>
            <w14:solidFill>
              <w14:schemeClr w14:val="tx1"/>
            </w14:solidFill>
          </w14:textFill>
        </w:rPr>
        <w:t>峨山彝族自治县综合行政执法局</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2024年3月25日正式挂牌成立，所以无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上年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此项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支出</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一般公共预算财政拨款“三公”经费支出</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实物量的</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具体情况</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2312" w:cs="Times New Roman"/>
          <w:b w:val="0"/>
          <w:bCs/>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_GB2312" w:cs="Times New Roman"/>
          <w:b w:val="0"/>
          <w:bCs/>
          <w:color w:val="000000" w:themeColor="text1"/>
          <w:sz w:val="32"/>
          <w:szCs w:val="32"/>
          <w:highlight w:val="none"/>
          <w14:textFill>
            <w14:solidFill>
              <w14:schemeClr w14:val="tx1"/>
            </w14:solidFill>
          </w14:textFill>
        </w:rPr>
        <w:t>安排因公出国（境）团组</w:t>
      </w:r>
      <w:r>
        <w:rPr>
          <w:rFonts w:hint="default" w:ascii="Times New Roman" w:hAnsi="Times New Roman" w:eastAsia="方正仿宋_GB2312" w:cs="Times New Roman"/>
          <w:color w:val="000000" w:themeColor="text1"/>
          <w:sz w:val="32"/>
          <w:szCs w:val="32"/>
          <w:lang w:val="zh-CN"/>
          <w14:textFill>
            <w14:solidFill>
              <w14:schemeClr w14:val="tx1"/>
            </w14:solidFill>
          </w14:textFill>
        </w:rPr>
        <w:t>0.0</w:t>
      </w:r>
      <w:r>
        <w:rPr>
          <w:rFonts w:hint="default" w:ascii="Times New Roman" w:hAnsi="Times New Roman" w:eastAsia="方正仿宋_GB2312" w:cs="Times New Roman"/>
          <w:b w:val="0"/>
          <w:bCs/>
          <w:color w:val="000000" w:themeColor="text1"/>
          <w:sz w:val="32"/>
          <w:szCs w:val="32"/>
          <w:highlight w:val="none"/>
          <w14:textFill>
            <w14:solidFill>
              <w14:schemeClr w14:val="tx1"/>
            </w14:solidFill>
          </w14:textFill>
        </w:rPr>
        <w:t>个，累计</w:t>
      </w:r>
      <w:r>
        <w:rPr>
          <w:rFonts w:hint="default" w:ascii="Times New Roman" w:hAnsi="Times New Roman" w:eastAsia="方正仿宋_GB2312" w:cs="Times New Roman"/>
          <w:color w:val="000000" w:themeColor="text1"/>
          <w:sz w:val="32"/>
          <w:szCs w:val="32"/>
          <w:lang w:val="zh-CN"/>
          <w14:textFill>
            <w14:solidFill>
              <w14:schemeClr w14:val="tx1"/>
            </w14:solidFill>
          </w14:textFill>
        </w:rPr>
        <w:t>0.0</w:t>
      </w:r>
      <w:r>
        <w:rPr>
          <w:rFonts w:hint="default" w:ascii="Times New Roman" w:hAnsi="Times New Roman" w:eastAsia="方正仿宋_GB2312" w:cs="Times New Roman"/>
          <w:b w:val="0"/>
          <w:bCs/>
          <w:color w:val="000000" w:themeColor="text1"/>
          <w:sz w:val="32"/>
          <w:szCs w:val="32"/>
          <w:highlight w:val="none"/>
          <w14:textFill>
            <w14:solidFill>
              <w14:schemeClr w14:val="tx1"/>
            </w14:solidFill>
          </w14:textFill>
        </w:rPr>
        <w:t>人次。</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2312" w:cs="Times New Roman"/>
          <w:b w:val="0"/>
          <w:bCs/>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b w:val="0"/>
          <w:bCs/>
          <w:color w:val="000000" w:themeColor="text1"/>
          <w:sz w:val="32"/>
          <w:szCs w:val="32"/>
          <w:highlight w:val="none"/>
          <w14:textFill>
            <w14:solidFill>
              <w14:schemeClr w14:val="tx1"/>
            </w14:solidFill>
          </w14:textFill>
        </w:rPr>
        <w:t>2.购置车辆</w:t>
      </w:r>
      <w:r>
        <w:rPr>
          <w:rFonts w:hint="default" w:ascii="Times New Roman" w:hAnsi="Times New Roman" w:eastAsia="方正仿宋_GB2312" w:cs="Times New Roman"/>
          <w:color w:val="000000" w:themeColor="text1"/>
          <w:sz w:val="32"/>
          <w:szCs w:val="32"/>
          <w:lang w:val="zh-CN"/>
          <w14:textFill>
            <w14:solidFill>
              <w14:schemeClr w14:val="tx1"/>
            </w14:solidFill>
          </w14:textFill>
        </w:rPr>
        <w:t>0.0</w:t>
      </w:r>
      <w:r>
        <w:rPr>
          <w:rFonts w:hint="default" w:ascii="Times New Roman" w:hAnsi="Times New Roman" w:eastAsia="方正仿宋_GB2312" w:cs="Times New Roman"/>
          <w:b w:val="0"/>
          <w:bCs/>
          <w:color w:val="000000" w:themeColor="text1"/>
          <w:sz w:val="32"/>
          <w:szCs w:val="32"/>
          <w:highlight w:val="none"/>
          <w14:textFill>
            <w14:solidFill>
              <w14:schemeClr w14:val="tx1"/>
            </w14:solidFill>
          </w14:textFill>
        </w:rPr>
        <w:t>辆。开支一般公共预算财政拨款的公务用车保有量为</w:t>
      </w:r>
      <w:r>
        <w:rPr>
          <w:rFonts w:hint="default" w:ascii="Times New Roman" w:hAnsi="Times New Roman" w:eastAsia="方正仿宋_GB2312" w:cs="Times New Roman"/>
          <w:color w:val="000000" w:themeColor="text1"/>
          <w:sz w:val="32"/>
          <w:szCs w:val="32"/>
          <w:lang w:val="zh-CN"/>
          <w14:textFill>
            <w14:solidFill>
              <w14:schemeClr w14:val="tx1"/>
            </w14:solidFill>
          </w14:textFill>
        </w:rPr>
        <w:t>2.0</w:t>
      </w:r>
      <w:r>
        <w:rPr>
          <w:rFonts w:hint="default" w:ascii="Times New Roman" w:hAnsi="Times New Roman" w:eastAsia="方正仿宋_GB2312" w:cs="Times New Roman"/>
          <w:b w:val="0"/>
          <w:bCs/>
          <w:color w:val="000000" w:themeColor="text1"/>
          <w:sz w:val="32"/>
          <w:szCs w:val="32"/>
          <w:highlight w:val="none"/>
          <w14:textFill>
            <w14:solidFill>
              <w14:schemeClr w14:val="tx1"/>
            </w14:solidFill>
          </w14:textFill>
        </w:rPr>
        <w:t>辆。主要用于</w:t>
      </w:r>
      <w:r>
        <w:rPr>
          <w:rFonts w:hint="default" w:ascii="Times New Roman" w:hAnsi="Times New Roman" w:eastAsia="方正仿宋_GB2312" w:cs="Times New Roman"/>
          <w:color w:val="000000" w:themeColor="text1"/>
          <w:kern w:val="0"/>
          <w:sz w:val="32"/>
          <w:szCs w:val="32"/>
          <w:highlight w:val="none"/>
          <w:lang w:val="en-US" w:eastAsia="zh-CN"/>
          <w14:textFill>
            <w14:solidFill>
              <w14:schemeClr w14:val="tx1"/>
            </w14:solidFill>
          </w14:textFill>
        </w:rPr>
        <w:t>对市容环境卫生管理、城市绿化管理、城市户外广告、城市照明、城市道路管理和其他市政设施管理以及城镇燃气管理</w:t>
      </w:r>
      <w:r>
        <w:rPr>
          <w:rFonts w:hint="default" w:ascii="Times New Roman" w:hAnsi="Times New Roman" w:eastAsia="方正仿宋_GB2312" w:cs="Times New Roman"/>
          <w:b w:val="0"/>
          <w:bCs/>
          <w:color w:val="000000" w:themeColor="text1"/>
          <w:sz w:val="32"/>
          <w:szCs w:val="32"/>
          <w:highlight w:val="none"/>
          <w14:textFill>
            <w14:solidFill>
              <w14:schemeClr w14:val="tx1"/>
            </w14:solidFill>
          </w14:textFill>
        </w:rPr>
        <w:t>所需车辆燃料费、维修费、过路过桥费、保险费等。</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2312"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2312" w:cs="Times New Roman"/>
          <w:b w:val="0"/>
          <w:bCs/>
          <w:color w:val="000000" w:themeColor="text1"/>
          <w:sz w:val="32"/>
          <w:szCs w:val="32"/>
          <w:highlight w:val="none"/>
          <w14:textFill>
            <w14:solidFill>
              <w14:schemeClr w14:val="tx1"/>
            </w14:solidFill>
          </w14:textFill>
        </w:rPr>
        <w:t>3.安排</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国内公务接待</w:t>
      </w:r>
      <w:r>
        <w:rPr>
          <w:rFonts w:hint="default" w:ascii="Times New Roman" w:hAnsi="Times New Roman" w:eastAsia="方正仿宋_GB2312" w:cs="Times New Roman"/>
          <w:color w:val="000000" w:themeColor="text1"/>
          <w:sz w:val="32"/>
          <w:szCs w:val="32"/>
          <w:lang w:val="zh-CN"/>
          <w14:textFill>
            <w14:solidFill>
              <w14:schemeClr w14:val="tx1"/>
            </w14:solidFill>
          </w14:textFill>
        </w:rPr>
        <w:t>0.0</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批次（其中：外事接待</w:t>
      </w:r>
      <w:r>
        <w:rPr>
          <w:rFonts w:hint="default" w:ascii="Times New Roman" w:hAnsi="Times New Roman" w:eastAsia="方正仿宋_GB2312" w:cs="Times New Roman"/>
          <w:color w:val="000000" w:themeColor="text1"/>
          <w:sz w:val="32"/>
          <w:szCs w:val="32"/>
          <w:lang w:val="zh-CN"/>
          <w14:textFill>
            <w14:solidFill>
              <w14:schemeClr w14:val="tx1"/>
            </w14:solidFill>
          </w14:textFill>
        </w:rPr>
        <w:t>0.0</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批次），接待人次</w:t>
      </w:r>
      <w:r>
        <w:rPr>
          <w:rFonts w:hint="default" w:ascii="Times New Roman" w:hAnsi="Times New Roman" w:eastAsia="方正仿宋_GB2312" w:cs="Times New Roman"/>
          <w:color w:val="000000" w:themeColor="text1"/>
          <w:sz w:val="32"/>
          <w:szCs w:val="32"/>
          <w:lang w:val="zh-CN"/>
          <w14:textFill>
            <w14:solidFill>
              <w14:schemeClr w14:val="tx1"/>
            </w14:solidFill>
          </w14:textFill>
        </w:rPr>
        <w:t>0.0</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人（其中：外事接待人次</w:t>
      </w:r>
      <w:r>
        <w:rPr>
          <w:rFonts w:hint="default" w:ascii="Times New Roman" w:hAnsi="Times New Roman" w:eastAsia="方正仿宋_GB2312" w:cs="Times New Roman"/>
          <w:color w:val="000000" w:themeColor="text1"/>
          <w:sz w:val="32"/>
          <w:szCs w:val="32"/>
          <w:lang w:val="zh-CN"/>
          <w14:textFill>
            <w14:solidFill>
              <w14:schemeClr w14:val="tx1"/>
            </w14:solidFill>
          </w14:textFill>
        </w:rPr>
        <w:t>0.0</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人）。安排国（境）外公务接待</w:t>
      </w:r>
      <w:r>
        <w:rPr>
          <w:rFonts w:hint="default" w:ascii="Times New Roman" w:hAnsi="Times New Roman" w:eastAsia="方正仿宋_GB2312" w:cs="Times New Roman"/>
          <w:color w:val="000000" w:themeColor="text1"/>
          <w:sz w:val="32"/>
          <w:szCs w:val="32"/>
          <w:lang w:val="zh-CN"/>
          <w14:textFill>
            <w14:solidFill>
              <w14:schemeClr w14:val="tx1"/>
            </w14:solidFill>
          </w14:textFill>
        </w:rPr>
        <w:t>0.0</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批次，接待人次</w:t>
      </w:r>
      <w:r>
        <w:rPr>
          <w:rFonts w:hint="default" w:ascii="Times New Roman" w:hAnsi="Times New Roman" w:eastAsia="方正仿宋_GB2312" w:cs="Times New Roman"/>
          <w:color w:val="000000" w:themeColor="text1"/>
          <w:sz w:val="32"/>
          <w:szCs w:val="32"/>
          <w:lang w:val="zh-CN"/>
          <w14:textFill>
            <w14:solidFill>
              <w14:schemeClr w14:val="tx1"/>
            </w14:solidFill>
          </w14:textFill>
        </w:rPr>
        <w:t>0.0</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人。</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2"/>
        <w:rPr>
          <w:rFonts w:hint="default" w:ascii="Times New Roman" w:hAnsi="Times New Roman" w:eastAsia="方正楷体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lang w:val="en-US" w:eastAsia="zh-CN"/>
          <w14:textFill>
            <w14:solidFill>
              <w14:schemeClr w14:val="tx1"/>
            </w14:solidFill>
          </w14:textFill>
        </w:rPr>
        <w:t>（三）需要说明的事项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pP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根据峨编办（2024）21号文，峨山彝族自治县综合行政执法局于2024年3月25日正式挂牌成立，因职能划分、业务需要由峨山彝族自治县住建局移交2辆公务用车给峨山彝族自治县综合行政执法局管理使用，费用由峨山彝族自治县综合行政执法局支付</w:t>
      </w:r>
      <w:r>
        <w:rPr>
          <w:rFonts w:hint="eastAsia" w:eastAsia="方正仿宋_GB2312" w:cs="Times New Roman"/>
          <w:b w:val="0"/>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在出2024年度部门决算前，峨山彝族自治县住建局暂未办理固定资产划转手续，峨山彝族自治县综合行政执法局无法办理资产接收，故</w:t>
      </w:r>
      <w:r>
        <w:rPr>
          <w:rFonts w:hint="eastAsia" w:eastAsia="方正仿宋_GB2312" w:cs="Times New Roman"/>
          <w:b w:val="0"/>
          <w:bCs/>
          <w:color w:val="000000" w:themeColor="text1"/>
          <w:sz w:val="32"/>
          <w:szCs w:val="32"/>
          <w:highlight w:val="none"/>
          <w:lang w:val="en-US" w:eastAsia="zh-CN"/>
          <w14:textFill>
            <w14:solidFill>
              <w14:schemeClr w14:val="tx1"/>
            </w14:solidFill>
          </w14:textFill>
        </w:rPr>
        <w:t>造成</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资产系统公务用车数量为0，部门决算报表发生</w:t>
      </w:r>
      <w:r>
        <w:rPr>
          <w:rFonts w:hint="default" w:ascii="Times New Roman" w:hAnsi="Times New Roman" w:eastAsia="方正仿宋_GB2312" w:cs="Times New Roman"/>
          <w:b w:val="0"/>
          <w:bCs/>
          <w:color w:val="000000" w:themeColor="text1"/>
          <w:sz w:val="32"/>
          <w:szCs w:val="32"/>
          <w:highlight w:val="none"/>
          <w14:textFill>
            <w14:solidFill>
              <w14:schemeClr w14:val="tx1"/>
            </w14:solidFill>
          </w14:textFill>
        </w:rPr>
        <w:t>公务用车</w:t>
      </w:r>
      <w:r>
        <w:rPr>
          <w:rFonts w:hint="default" w:ascii="Times New Roman" w:hAnsi="Times New Roman" w:eastAsia="方正仿宋_GB2312" w:cs="Times New Roman"/>
          <w:b w:val="0"/>
          <w:bCs/>
          <w:color w:val="000000" w:themeColor="text1"/>
          <w:sz w:val="32"/>
          <w:szCs w:val="32"/>
          <w:highlight w:val="none"/>
          <w:lang w:eastAsia="zh-CN"/>
          <w14:textFill>
            <w14:solidFill>
              <w14:schemeClr w14:val="tx1"/>
            </w14:solidFill>
          </w14:textFill>
        </w:rPr>
        <w:t>运行维护费</w:t>
      </w:r>
      <w:r>
        <w:rPr>
          <w:rFonts w:hint="default" w:ascii="Times New Roman" w:hAnsi="Times New Roman" w:eastAsia="方正仿宋_GB2312" w:cs="Times New Roman"/>
          <w:b w:val="0"/>
          <w:bCs/>
          <w:color w:val="000000" w:themeColor="text1"/>
          <w:sz w:val="32"/>
          <w:szCs w:val="32"/>
          <w:highlight w:val="none"/>
          <w14:textFill>
            <w14:solidFill>
              <w14:schemeClr w14:val="tx1"/>
            </w14:solidFill>
          </w14:textFill>
        </w:rPr>
        <w:t>支出</w:t>
      </w:r>
      <w:r>
        <w:rPr>
          <w:rFonts w:hint="default" w:ascii="Times New Roman" w:hAnsi="Times New Roman" w:eastAsia="方正仿宋_GB2312" w:cs="Times New Roman"/>
          <w:b w:val="0"/>
          <w:bCs/>
          <w:color w:val="000000" w:themeColor="text1"/>
          <w:sz w:val="32"/>
          <w:szCs w:val="32"/>
          <w:highlight w:val="none"/>
          <w:lang w:val="zh-CN"/>
          <w14:textFill>
            <w14:solidFill>
              <w14:schemeClr w14:val="tx1"/>
            </w14:solidFill>
          </w14:textFill>
        </w:rPr>
        <w:t>2</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zh-CN"/>
          <w14:textFill>
            <w14:solidFill>
              <w14:schemeClr w14:val="tx1"/>
            </w14:solidFill>
          </w14:textFill>
        </w:rPr>
        <w:t>620.78</w:t>
      </w:r>
      <w:r>
        <w:rPr>
          <w:rFonts w:hint="default" w:ascii="Times New Roman" w:hAnsi="Times New Roman" w:eastAsia="方正仿宋_GB2312" w:cs="Times New Roman"/>
          <w:b w:val="0"/>
          <w:bCs/>
          <w:color w:val="000000" w:themeColor="text1"/>
          <w:sz w:val="32"/>
          <w:szCs w:val="32"/>
          <w:highlight w:val="none"/>
          <w:lang w:eastAsia="zh-CN"/>
          <w14:textFill>
            <w14:solidFill>
              <w14:schemeClr w14:val="tx1"/>
            </w14:solidFill>
          </w14:textFill>
        </w:rPr>
        <w:t>元。</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0"/>
        <w:rPr>
          <w:rFonts w:hint="default" w:ascii="Times New Roman" w:hAnsi="Times New Roman" w:eastAsia="方正黑体_GBK" w:cs="Times New Roman"/>
          <w:color w:val="000000" w:themeColor="text1"/>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14:textFill>
            <w14:solidFill>
              <w14:schemeClr w14:val="tx1"/>
            </w14:solidFill>
          </w14:textFill>
        </w:rPr>
        <w:t>第四部分  其他重要事项及相关口径情况说明</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40" w:firstLineChars="200"/>
        <w:jc w:val="left"/>
        <w:textAlignment w:val="auto"/>
        <w:outlineLvl w:val="0"/>
        <w:rPr>
          <w:rFonts w:hint="default" w:ascii="Times New Roman" w:hAnsi="Times New Roman" w:eastAsia="方正黑体_GBK" w:cs="Times New Roman"/>
          <w:color w:val="000000" w:themeColor="text1"/>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14:textFill>
            <w14:solidFill>
              <w14:schemeClr w14:val="tx1"/>
            </w14:solidFill>
          </w14:textFill>
        </w:rPr>
        <w:t>一</w:t>
      </w:r>
      <w:r>
        <w:rPr>
          <w:rFonts w:hint="default" w:ascii="Times New Roman" w:hAnsi="Times New Roman" w:eastAsia="方正黑体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黑体_GBK" w:cs="Times New Roman"/>
          <w:color w:val="000000" w:themeColor="text1"/>
          <w:sz w:val="32"/>
          <w:szCs w:val="32"/>
          <w:highlight w:val="none"/>
          <w14:textFill>
            <w14:solidFill>
              <w14:schemeClr w14:val="tx1"/>
            </w14:solidFill>
          </w14:textFill>
        </w:rPr>
        <w:t>机关运行经费支出情况</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峨山彝族自治县综合行政执法局</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2024年机关运行经费支出3</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163</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142.20元，比上年增加3</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163</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142.20元，增长100.00%,主要原因为</w:t>
      </w:r>
      <w:r>
        <w:rPr>
          <w:rFonts w:hint="eastAsia" w:eastAsia="方正仿宋_GBK" w:cs="Times New Roman"/>
          <w:color w:val="000000" w:themeColor="text1"/>
          <w:kern w:val="0"/>
          <w:sz w:val="32"/>
          <w:szCs w:val="32"/>
          <w:highlight w:val="none"/>
          <w:lang w:val="en-US" w:eastAsia="zh-CN"/>
          <w14:textFill>
            <w14:solidFill>
              <w14:schemeClr w14:val="tx1"/>
            </w14:solidFill>
          </w14:textFill>
        </w:rPr>
        <w:t>峨山彝族自治县综合行政执法局</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2024年3月25日正式挂牌成立，无前期数据。单位机关运行经费主要用于保障机关正常运转产生的办公费45</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261.50元、邮电费1</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043.27元、维护费514</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905.16元、委托业务费2</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506</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587.84元、公务用车运行维护费2</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620.78元、其他交通费用92</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723.65元。与上年对比增长100.00%，主要原因为</w:t>
      </w:r>
      <w:r>
        <w:rPr>
          <w:rFonts w:hint="eastAsia" w:eastAsia="方正仿宋_GBK" w:cs="Times New Roman"/>
          <w:color w:val="000000" w:themeColor="text1"/>
          <w:kern w:val="0"/>
          <w:sz w:val="32"/>
          <w:szCs w:val="32"/>
          <w:highlight w:val="none"/>
          <w:lang w:val="en-US" w:eastAsia="zh-CN"/>
          <w14:textFill>
            <w14:solidFill>
              <w14:schemeClr w14:val="tx1"/>
            </w14:solidFill>
          </w14:textFill>
        </w:rPr>
        <w:t>峨山彝族自治县综合行政执法局</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2024年3月25日正式挂牌成立，无前期数据。</w:t>
      </w:r>
    </w:p>
    <w:p>
      <w:pPr>
        <w:keepNext w:val="0"/>
        <w:keepLines w:val="0"/>
        <w:pageBreakBefore w:val="0"/>
        <w:widowControl/>
        <w:numPr>
          <w:ilvl w:val="0"/>
          <w:numId w:val="2"/>
        </w:numPr>
        <w:kinsoku/>
        <w:wordWrap/>
        <w:overflowPunct/>
        <w:topLinePunct w:val="0"/>
        <w:autoSpaceDE/>
        <w:autoSpaceDN/>
        <w:bidi w:val="0"/>
        <w:adjustRightInd/>
        <w:spacing w:line="590" w:lineRule="exact"/>
        <w:ind w:left="0" w:leftChars="0" w:firstLine="640" w:firstLineChars="200"/>
        <w:textAlignment w:val="auto"/>
        <w:outlineLvl w:val="1"/>
        <w:rPr>
          <w:rFonts w:hint="default" w:ascii="Times New Roman" w:hAnsi="Times New Roman" w:eastAsia="方正黑体_GBK"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14:textFill>
            <w14:solidFill>
              <w14:schemeClr w14:val="tx1"/>
            </w14:solidFill>
          </w14:textFill>
        </w:rPr>
        <w:t>国有资产占用情况</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pP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截至2024年末，峨山彝族自治县综合行政执法局资产总额</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47,463.64元</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，其中，流动资产</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39,555.26元</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，固定资产</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7,908.38元</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，对外投资及有价证券</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0.00元</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，在建工程</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0.00元</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，无形资产</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0.00元</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，其他资产</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0.00元</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。与上年相比，本年资产总额增加</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47,463.64元</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，其中固定资产增加</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7,908.38元</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。处置房屋建筑物</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0.00</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平方米，账面原值</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0.00元</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；处置车辆</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0</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辆，账面原值</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0.00元</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；报废报损资产</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0</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项，账面原值</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0.00元</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，实现资产处置收入</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0.00元</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；出租房屋</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0.00</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平方米，账面原值</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0.00</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元，实现资产使用收入</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0.00</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元。</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pP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（国有资产占有使用情况表详见附表）</w:t>
      </w:r>
    </w:p>
    <w:tbl>
      <w:tblPr>
        <w:tblStyle w:val="7"/>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jc w:val="left"/>
              <w:textAlignment w:val="auto"/>
              <w:rPr>
                <w:rFonts w:hint="default" w:ascii="Times New Roman" w:hAnsi="Times New Roman" w:cs="Times New Roman"/>
                <w:color w:val="000000" w:themeColor="text1"/>
                <w:kern w:val="0"/>
                <w:sz w:val="17"/>
                <w:szCs w:val="17"/>
                <w:highlight w:val="none"/>
                <w14:textFill>
                  <w14:solidFill>
                    <w14:schemeClr w14:val="tx1"/>
                  </w14:solidFill>
                </w14:textFill>
              </w:rPr>
            </w:pPr>
          </w:p>
        </w:tc>
      </w:tr>
      <w:tr>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jc w:val="left"/>
              <w:textAlignment w:val="auto"/>
              <w:rPr>
                <w:rFonts w:hint="default" w:ascii="Times New Roman" w:hAnsi="Times New Roman" w:cs="Times New Roman"/>
                <w:color w:val="000000" w:themeColor="text1"/>
                <w:kern w:val="0"/>
                <w:sz w:val="17"/>
                <w:szCs w:val="17"/>
                <w:highlight w:val="none"/>
                <w14:textFill>
                  <w14:solidFill>
                    <w14:schemeClr w14:val="tx1"/>
                  </w14:solidFill>
                </w14:textFill>
              </w:rPr>
            </w:pPr>
          </w:p>
        </w:tc>
      </w:tr>
      <w:tr>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jc w:val="left"/>
              <w:textAlignment w:val="auto"/>
              <w:rPr>
                <w:rFonts w:hint="default" w:ascii="Times New Roman" w:hAnsi="Times New Roman" w:cs="Times New Roman"/>
                <w:color w:val="000000" w:themeColor="text1"/>
                <w:kern w:val="0"/>
                <w:sz w:val="17"/>
                <w:szCs w:val="17"/>
                <w:highlight w:val="none"/>
                <w14:textFill>
                  <w14:solidFill>
                    <w14:schemeClr w14:val="tx1"/>
                  </w14:solidFill>
                </w14:textFill>
              </w:rPr>
            </w:pPr>
          </w:p>
        </w:tc>
      </w:tr>
      <w:tr>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jc w:val="left"/>
              <w:textAlignment w:val="auto"/>
              <w:rPr>
                <w:rFonts w:hint="default" w:ascii="Times New Roman" w:hAnsi="Times New Roman" w:cs="Times New Roman"/>
                <w:color w:val="000000" w:themeColor="text1"/>
                <w:kern w:val="0"/>
                <w:sz w:val="17"/>
                <w:szCs w:val="17"/>
                <w:highlight w:val="none"/>
                <w14:textFill>
                  <w14:solidFill>
                    <w14:schemeClr w14:val="tx1"/>
                  </w14:solidFill>
                </w14:textFill>
              </w:rPr>
            </w:pPr>
          </w:p>
        </w:tc>
      </w:tr>
      <w:tr>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jc w:val="left"/>
              <w:textAlignment w:val="auto"/>
              <w:rPr>
                <w:rFonts w:hint="default" w:ascii="Times New Roman" w:hAnsi="Times New Roman" w:cs="Times New Roman"/>
                <w:color w:val="000000" w:themeColor="text1"/>
                <w:kern w:val="0"/>
                <w:sz w:val="17"/>
                <w:szCs w:val="17"/>
                <w:highlight w:val="none"/>
                <w14:textFill>
                  <w14:solidFill>
                    <w14:schemeClr w14:val="tx1"/>
                  </w14:solidFill>
                </w14:textFill>
              </w:rPr>
            </w:pPr>
          </w:p>
        </w:tc>
      </w:tr>
      <w:tr>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pacing w:line="590" w:lineRule="exact"/>
              <w:jc w:val="left"/>
              <w:textAlignment w:val="auto"/>
              <w:rPr>
                <w:rFonts w:hint="default" w:ascii="Times New Roman" w:hAnsi="Times New Roman" w:cs="Times New Roman"/>
                <w:color w:val="000000" w:themeColor="text1"/>
                <w:kern w:val="0"/>
                <w:sz w:val="17"/>
                <w:szCs w:val="17"/>
                <w:highlight w:val="none"/>
                <w14:textFill>
                  <w14:solidFill>
                    <w14:schemeClr w14:val="tx1"/>
                  </w14:solidFill>
                </w14:textFill>
              </w:rPr>
            </w:pPr>
          </w:p>
        </w:tc>
      </w:tr>
      <w:tr>
        <w:trPr>
          <w:trHeight w:val="495" w:hRule="atLeast"/>
        </w:trPr>
        <w:tc>
          <w:tcPr>
            <w:tcW w:w="142" w:type="dxa"/>
            <w:noWrap w:val="0"/>
            <w:vAlign w:val="center"/>
          </w:tcPr>
          <w:p>
            <w:pPr>
              <w:keepNext w:val="0"/>
              <w:keepLines w:val="0"/>
              <w:pageBreakBefore w:val="0"/>
              <w:widowControl/>
              <w:kinsoku/>
              <w:wordWrap/>
              <w:overflowPunct/>
              <w:topLinePunct w:val="0"/>
              <w:autoSpaceDE/>
              <w:autoSpaceDN/>
              <w:bidi w:val="0"/>
              <w:adjustRightInd/>
              <w:spacing w:line="590" w:lineRule="exact"/>
              <w:jc w:val="left"/>
              <w:textAlignment w:val="auto"/>
              <w:rPr>
                <w:rFonts w:hint="default" w:ascii="Times New Roman" w:hAnsi="Times New Roman" w:eastAsia="Times New Roman" w:cs="Times New Roman"/>
                <w:color w:val="000000" w:themeColor="text1"/>
                <w:kern w:val="0"/>
                <w:sz w:val="20"/>
                <w:szCs w:val="20"/>
                <w:highlight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pacing w:line="590" w:lineRule="exact"/>
        <w:ind w:firstLine="640" w:firstLineChars="200"/>
        <w:textAlignment w:val="auto"/>
        <w:outlineLvl w:val="1"/>
        <w:rPr>
          <w:rFonts w:hint="default" w:ascii="Times New Roman" w:hAnsi="Times New Roman" w:eastAsia="方正黑体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eastAsia="zh-CN"/>
          <w14:textFill>
            <w14:solidFill>
              <w14:schemeClr w14:val="tx1"/>
            </w14:solidFill>
          </w14:textFill>
        </w:rPr>
        <w:t>三、政</w:t>
      </w:r>
      <w:r>
        <w:rPr>
          <w:rFonts w:hint="default" w:ascii="Times New Roman" w:hAnsi="Times New Roman" w:eastAsia="方正黑体_GBK" w:cs="Times New Roman"/>
          <w:color w:val="000000" w:themeColor="text1"/>
          <w:sz w:val="32"/>
          <w:szCs w:val="32"/>
          <w:highlight w:val="none"/>
          <w14:textFill>
            <w14:solidFill>
              <w14:schemeClr w14:val="tx1"/>
            </w14:solidFill>
          </w14:textFill>
        </w:rPr>
        <w:t>府采购支出情况</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2024年度，部门政府采购支出总额51</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829.43元，其中：政府采购货物支出8</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235.00元；政府采购工程支出</w:t>
      </w:r>
      <w:r>
        <w:rPr>
          <w:rFonts w:hint="default" w:ascii="Times New Roman" w:hAnsi="Times New Roman" w:eastAsia="方正仿宋_GB2312" w:cs="Times New Roman"/>
          <w:b w:val="0"/>
          <w:bCs/>
          <w:color w:val="000000" w:themeColor="text1"/>
          <w:sz w:val="32"/>
          <w:szCs w:val="32"/>
          <w:highlight w:val="none"/>
          <w:lang w:val="zh-CN" w:eastAsia="zh-CN"/>
          <w14:textFill>
            <w14:solidFill>
              <w14:schemeClr w14:val="tx1"/>
            </w14:solidFill>
          </w14:textFill>
        </w:rPr>
        <w:t>0.00</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元；政府采购服务支出43</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594.43元。授予中小企业合同金额51</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829.43元，其中：授予小微企业合同金额51</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829.43元。</w:t>
      </w:r>
    </w:p>
    <w:p>
      <w:pPr>
        <w:keepNext w:val="0"/>
        <w:keepLines w:val="0"/>
        <w:pageBreakBefore w:val="0"/>
        <w:widowControl/>
        <w:kinsoku/>
        <w:wordWrap/>
        <w:overflowPunct/>
        <w:topLinePunct w:val="0"/>
        <w:autoSpaceDE/>
        <w:autoSpaceDN/>
        <w:bidi w:val="0"/>
        <w:adjustRightInd/>
        <w:spacing w:line="590" w:lineRule="exact"/>
        <w:ind w:firstLine="640" w:firstLineChars="200"/>
        <w:textAlignment w:val="auto"/>
        <w:outlineLvl w:val="1"/>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四、部门绩效自评情况</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部门绩效自评情况详见附表。</w:t>
      </w:r>
    </w:p>
    <w:p>
      <w:pPr>
        <w:keepNext w:val="0"/>
        <w:keepLines w:val="0"/>
        <w:pageBreakBefore w:val="0"/>
        <w:widowControl/>
        <w:kinsoku/>
        <w:wordWrap/>
        <w:overflowPunct/>
        <w:topLinePunct w:val="0"/>
        <w:autoSpaceDE/>
        <w:autoSpaceDN/>
        <w:bidi w:val="0"/>
        <w:adjustRightInd/>
        <w:spacing w:line="590" w:lineRule="exact"/>
        <w:ind w:firstLine="640" w:firstLineChars="200"/>
        <w:textAlignment w:val="auto"/>
        <w:outlineLvl w:val="1"/>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五、其他重要事项情况说明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峨山彝族自治县综合行政执法局无其他重要事项。</w:t>
      </w:r>
    </w:p>
    <w:p>
      <w:pPr>
        <w:keepNext w:val="0"/>
        <w:keepLines w:val="0"/>
        <w:pageBreakBefore w:val="0"/>
        <w:widowControl/>
        <w:kinsoku/>
        <w:wordWrap/>
        <w:overflowPunct/>
        <w:topLinePunct w:val="0"/>
        <w:autoSpaceDE/>
        <w:autoSpaceDN/>
        <w:bidi w:val="0"/>
        <w:adjustRightInd/>
        <w:spacing w:line="590" w:lineRule="exact"/>
        <w:ind w:firstLine="640" w:firstLineChars="200"/>
        <w:textAlignment w:val="auto"/>
        <w:outlineLvl w:val="1"/>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六、相关口径说明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（一）基本支出中人员经费包括工资福利支出和对个人和家庭的补助，公用经费包括商品和服务支出、资本性支出等人员经费以外的支出。</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（二）机关运行经费指行政单位和参照公务员法管理的事业单位使用一般公共预算财政拨款安排的基本支出中的公用经费支出。</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center"/>
        <w:textAlignment w:val="auto"/>
        <w:outlineLvl w:val="1"/>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第五部分  名词解释</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90" w:lineRule="exact"/>
        <w:ind w:firstLine="64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2312" w:cs="Times New Roman"/>
          <w:b w:val="0"/>
          <w:bCs/>
          <w:color w:val="000000" w:themeColor="text1"/>
          <w:sz w:val="32"/>
          <w:szCs w:val="32"/>
          <w:highlight w:val="none"/>
          <w:lang w:val="en-US" w:eastAsia="zh-CN"/>
          <w14:textFill>
            <w14:solidFill>
              <w14:schemeClr w14:val="tx1"/>
            </w14:solidFill>
          </w14:textFill>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rPr>
          <w:rFonts w:ascii="Arial" w:hAnsi="Arial" w:eastAsia="Arial" w:cs="Arial"/>
          <w:b/>
          <w:sz w:val="36"/>
        </w:rPr>
      </w:pPr>
      <w:r>
        <w:rPr>
          <w:rFonts w:ascii="Arial" w:hAnsi="Arial" w:eastAsia="Arial" w:cs="Arial"/>
          <w:b/>
          <w:sz w:val="36"/>
        </w:rPr>
        <w:t>监督索引号53042600647301111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20B9F78-7C73-4F33-98B3-49DE18662331}"/>
  </w:font>
  <w:font w:name="黑体">
    <w:panose1 w:val="02010609060101010101"/>
    <w:charset w:val="86"/>
    <w:family w:val="auto"/>
    <w:pitch w:val="default"/>
    <w:sig w:usb0="800002BF" w:usb1="38CF7CFA" w:usb2="00000016" w:usb3="00000000" w:csb0="00040001" w:csb1="00000000"/>
    <w:embedRegular r:id="rId2" w:fontKey="{6788638C-E65A-4FB0-B5A5-78D93CD480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50D77D87-D614-47AB-85C1-9B50D57CA439}"/>
  </w:font>
  <w:font w:name="方正小标宋_GBK">
    <w:panose1 w:val="03000509000000000000"/>
    <w:charset w:val="86"/>
    <w:family w:val="auto"/>
    <w:pitch w:val="default"/>
    <w:sig w:usb0="00000001" w:usb1="080E0000" w:usb2="00000000" w:usb3="00000000" w:csb0="00040000" w:csb1="00000000"/>
    <w:embedRegular r:id="rId4" w:fontKey="{F20409CF-3540-471B-B536-538B74144C27}"/>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5" w:fontKey="{44DD034E-9BAB-4793-8C70-9B502D828254}"/>
  </w:font>
  <w:font w:name="方正楷体_GBK">
    <w:panose1 w:val="03000509000000000000"/>
    <w:charset w:val="86"/>
    <w:family w:val="auto"/>
    <w:pitch w:val="default"/>
    <w:sig w:usb0="00000001" w:usb1="080E0000" w:usb2="00000000" w:usb3="00000000" w:csb0="00040000" w:csb1="00000000"/>
    <w:embedRegular r:id="rId6" w:fontKey="{D868CE51-7554-4D79-A9AC-2786D4A70727}"/>
  </w:font>
  <w:font w:name="方正仿宋_GBK">
    <w:panose1 w:val="03000509000000000000"/>
    <w:charset w:val="86"/>
    <w:family w:val="auto"/>
    <w:pitch w:val="default"/>
    <w:sig w:usb0="00000001" w:usb1="080E0000" w:usb2="00000000" w:usb3="00000000" w:csb0="00040000" w:csb1="00000000"/>
    <w:embedRegular r:id="rId7" w:fontKey="{EF09B384-2E90-4C18-B60C-84C8BB0AD409}"/>
  </w:font>
  <w:font w:name="方正仿宋_GB2312">
    <w:altName w:val="仿宋"/>
    <w:panose1 w:val="02000000000000000000"/>
    <w:charset w:val="86"/>
    <w:family w:val="auto"/>
    <w:pitch w:val="default"/>
    <w:sig w:usb0="00000000" w:usb1="00000000" w:usb2="00000012" w:usb3="00000000" w:csb0="00040001" w:csb1="00000000"/>
    <w:embedRegular r:id="rId8" w:fontKey="{4E99A546-4D09-4E9E-9227-23957C08D92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10"/>
                            </w:rPr>
                          </w:pPr>
                          <w:r>
                            <w:rPr>
                              <w:rStyle w:val="10"/>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pPr>
                      <w:pStyle w:val="5"/>
                      <w:rPr>
                        <w:rStyle w:val="10"/>
                      </w:rPr>
                    </w:pPr>
                    <w:r>
                      <w:rPr>
                        <w:rStyle w:val="10"/>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2"/>
      <w:numFmt w:val="chineseCounting"/>
      <w:suff w:val="nothing"/>
      <w:lvlText w:val="%1、"/>
      <w:lvlJc w:val="left"/>
      <w:rPr>
        <w:rFonts w:hint="eastAsia" w:ascii="方正黑体_GBK" w:hAnsi="方正黑体_GBK" w:eastAsia="方正黑体_GBK" w:cs="方正黑体_GBK"/>
        <w:sz w:val="32"/>
        <w:szCs w:val="32"/>
      </w:rPr>
    </w:lvl>
  </w:abstractNum>
  <w:abstractNum w:abstractNumId="1">
    <w:nsid w:val="03D62ECE"/>
    <w:multiLevelType w:val="singleLevel"/>
    <w:tmpl w:val="03D62ECE"/>
    <w:lvl w:ilvl="0" w:tentative="0">
      <w:start w:val="4"/>
      <w:numFmt w:val="chineseCounting"/>
      <w:suff w:val="nothing"/>
      <w:lvlText w:val="%1、"/>
      <w:lvlJc w:val="left"/>
      <w:rPr>
        <w:rFonts w:hint="eastAsia" w:ascii="方正黑体_GBK" w:hAnsi="方正黑体_GBK" w:eastAsia="方正黑体_GBK" w:cs="方正黑体_GBK"/>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yYjYwNjg5MTU0ZGMxZDcwNjI4ZjM4MDg4NGQ1MzEifQ=="/>
  </w:docVars>
  <w:rsids>
    <w:rsidRoot w:val="00000000"/>
    <w:rsid w:val="00D15FC2"/>
    <w:rsid w:val="02227115"/>
    <w:rsid w:val="026B5C6E"/>
    <w:rsid w:val="029814CA"/>
    <w:rsid w:val="02BC1AB4"/>
    <w:rsid w:val="035B3644"/>
    <w:rsid w:val="05DC7780"/>
    <w:rsid w:val="06071F71"/>
    <w:rsid w:val="06874187"/>
    <w:rsid w:val="07FF1354"/>
    <w:rsid w:val="0910796B"/>
    <w:rsid w:val="0955056D"/>
    <w:rsid w:val="0A8269C8"/>
    <w:rsid w:val="0B04726E"/>
    <w:rsid w:val="0C6D4563"/>
    <w:rsid w:val="0DD979BE"/>
    <w:rsid w:val="0E8568F8"/>
    <w:rsid w:val="10C41590"/>
    <w:rsid w:val="11DC6231"/>
    <w:rsid w:val="132209C2"/>
    <w:rsid w:val="13623846"/>
    <w:rsid w:val="14DC63F8"/>
    <w:rsid w:val="15AE15A3"/>
    <w:rsid w:val="173D700C"/>
    <w:rsid w:val="176C6A6D"/>
    <w:rsid w:val="17A86360"/>
    <w:rsid w:val="19314344"/>
    <w:rsid w:val="19DD4C7B"/>
    <w:rsid w:val="1BF9747E"/>
    <w:rsid w:val="1CD12D1F"/>
    <w:rsid w:val="1D570912"/>
    <w:rsid w:val="1D58407E"/>
    <w:rsid w:val="1D905B8C"/>
    <w:rsid w:val="1ED3045A"/>
    <w:rsid w:val="2128655C"/>
    <w:rsid w:val="221B033F"/>
    <w:rsid w:val="222958A8"/>
    <w:rsid w:val="2289084B"/>
    <w:rsid w:val="232D31A6"/>
    <w:rsid w:val="23A27905"/>
    <w:rsid w:val="251175E6"/>
    <w:rsid w:val="25194B68"/>
    <w:rsid w:val="252742D5"/>
    <w:rsid w:val="263F12B7"/>
    <w:rsid w:val="26B730FC"/>
    <w:rsid w:val="26E86B9F"/>
    <w:rsid w:val="27EA7FED"/>
    <w:rsid w:val="291E22D1"/>
    <w:rsid w:val="2A4907BF"/>
    <w:rsid w:val="2A6D3510"/>
    <w:rsid w:val="2AE2353C"/>
    <w:rsid w:val="2BE54292"/>
    <w:rsid w:val="2CDD1C9A"/>
    <w:rsid w:val="2DAA5BE3"/>
    <w:rsid w:val="308B46F0"/>
    <w:rsid w:val="35E60787"/>
    <w:rsid w:val="365B39B9"/>
    <w:rsid w:val="39A4270D"/>
    <w:rsid w:val="39E43EC7"/>
    <w:rsid w:val="3A1059AE"/>
    <w:rsid w:val="3DE14212"/>
    <w:rsid w:val="3E2F39F7"/>
    <w:rsid w:val="3F6F15E7"/>
    <w:rsid w:val="4059484A"/>
    <w:rsid w:val="407C22A8"/>
    <w:rsid w:val="45176C50"/>
    <w:rsid w:val="457741A5"/>
    <w:rsid w:val="47925F0D"/>
    <w:rsid w:val="48054938"/>
    <w:rsid w:val="4A7D10F6"/>
    <w:rsid w:val="4A80339B"/>
    <w:rsid w:val="4ACB447D"/>
    <w:rsid w:val="4D545579"/>
    <w:rsid w:val="504B75A0"/>
    <w:rsid w:val="50D435EA"/>
    <w:rsid w:val="54295A39"/>
    <w:rsid w:val="55DF7161"/>
    <w:rsid w:val="56E75AD7"/>
    <w:rsid w:val="583F49AB"/>
    <w:rsid w:val="594C6533"/>
    <w:rsid w:val="59765691"/>
    <w:rsid w:val="598558E9"/>
    <w:rsid w:val="5A130056"/>
    <w:rsid w:val="5A9F4CE4"/>
    <w:rsid w:val="5B6854AA"/>
    <w:rsid w:val="5B7E7FAA"/>
    <w:rsid w:val="5DA832C1"/>
    <w:rsid w:val="5EFB29D5"/>
    <w:rsid w:val="600C0321"/>
    <w:rsid w:val="60156804"/>
    <w:rsid w:val="60C55551"/>
    <w:rsid w:val="60E15B0B"/>
    <w:rsid w:val="613B0A99"/>
    <w:rsid w:val="62CE5755"/>
    <w:rsid w:val="62D22C60"/>
    <w:rsid w:val="63D35E18"/>
    <w:rsid w:val="64CB0A9E"/>
    <w:rsid w:val="65634C41"/>
    <w:rsid w:val="67D61EEB"/>
    <w:rsid w:val="68906041"/>
    <w:rsid w:val="691B43CA"/>
    <w:rsid w:val="69F550D9"/>
    <w:rsid w:val="6B0963C1"/>
    <w:rsid w:val="6C5A2BED"/>
    <w:rsid w:val="6C9724F7"/>
    <w:rsid w:val="6D4C69DA"/>
    <w:rsid w:val="6D552A7B"/>
    <w:rsid w:val="725B146D"/>
    <w:rsid w:val="729A464C"/>
    <w:rsid w:val="73160457"/>
    <w:rsid w:val="746B3EB8"/>
    <w:rsid w:val="74A87203"/>
    <w:rsid w:val="75646EFD"/>
    <w:rsid w:val="7A965738"/>
    <w:rsid w:val="7C5915A1"/>
    <w:rsid w:val="7C603594"/>
    <w:rsid w:val="7C7E64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93" w:beforeLines="30"/>
    </w:pPr>
    <w:rPr>
      <w:rFonts w:ascii="仿宋_GB2312" w:eastAsia="仿宋_GB2312"/>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qFormat/>
    <w:uiPriority w:val="0"/>
  </w:style>
  <w:style w:type="paragraph" w:customStyle="1" w:styleId="11">
    <w:name w:val="正文-公1"/>
    <w:basedOn w:val="12"/>
    <w:next w:val="1"/>
    <w:qFormat/>
    <w:uiPriority w:val="0"/>
    <w:pPr>
      <w:ind w:firstLine="200" w:firstLine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8d8c2-3b85-45d6-a85b-fd26b5f5ee50}">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7976</Words>
  <Characters>9310</Characters>
  <Lines>0</Lines>
  <Paragraphs>0</Paragraphs>
  <TotalTime>6</TotalTime>
  <ScaleCrop>false</ScaleCrop>
  <LinksUpToDate>false</LinksUpToDate>
  <CharactersWithSpaces>9335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Administrator</cp:lastModifiedBy>
  <dcterms:modified xsi:type="dcterms:W3CDTF">2025-09-18T08:31:53Z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4B2FEB43282C43EBA125CFACEA0DEDD8_12</vt:lpwstr>
  </property>
  <property fmtid="{D5CDD505-2E9C-101B-9397-08002B2CF9AE}" pid="3" name="KSOProductBuildVer">
    <vt:lpwstr>2052-11.8.2.12089</vt:lpwstr>
  </property>
</Properties>
</file>