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监督索引号53042600536100501000</w:t>
      </w:r>
    </w:p>
    <w:p w14:paraId="16A87EB3">
      <w:pPr>
        <w:jc w:val="center"/>
        <w:outlineLvl w:val="0"/>
        <w:rPr>
          <w:rFonts w:ascii="方正小标宋_GBK" w:eastAsia="方正小标宋_GBK" w:hAnsi="方正小标宋_GBK" w:cs="方正小标宋_GBK" w:hint="eastAsia"/>
          <w:sz w:val="44"/>
          <w:szCs w:val="44"/>
          <w:highlight w:val="none"/>
        </w:rPr>
      </w:pPr>
      <w:r>
        <w:rPr>
          <w:rFonts w:ascii="方正小标宋_GBK" w:eastAsia="方正小标宋_GBK" w:hAnsi="方正小标宋_GBK" w:cs="方正小标宋_GBK" w:hint="eastAsia"/>
          <w:sz w:val="44"/>
          <w:szCs w:val="44"/>
          <w:lang w:val="zh-CN"/>
        </w:rPr>
        <w:t>峨山彝族自治县妇幼保健院</w:t>
      </w:r>
      <w:r>
        <w:rPr>
          <w:rFonts w:ascii="方正小标宋_GBK" w:eastAsia="方正小标宋_GBK" w:hAnsi="方正小标宋_GBK" w:cs="方正小标宋_GBK" w:hint="eastAsia"/>
          <w:sz w:val="44"/>
          <w:szCs w:val="44"/>
          <w:highlight w:val="none"/>
          <w:lang w:val="en-US" w:eastAsia="zh-CN"/>
        </w:rPr>
        <w:t>2024</w:t>
      </w:r>
      <w:r>
        <w:rPr>
          <w:rFonts w:ascii="方正小标宋_GBK" w:eastAsia="方正小标宋_GBK" w:hAnsi="方正小标宋_GBK" w:cs="方正小标宋_GBK" w:hint="eastAsia"/>
          <w:sz w:val="44"/>
          <w:szCs w:val="44"/>
          <w:highlight w:val="none"/>
        </w:rPr>
        <w:t>年度</w:t>
      </w:r>
    </w:p>
    <w:p w14:paraId="6D553BC7">
      <w:pPr>
        <w:jc w:val="center"/>
        <w:outlineLvl w:val="0"/>
        <w:rPr>
          <w:rFonts w:ascii="方正小标宋_GBK" w:eastAsia="方正小标宋_GBK" w:hAnsi="方正小标宋_GBK" w:cs="方正小标宋_GBK" w:hint="eastAsia"/>
          <w:sz w:val="44"/>
          <w:szCs w:val="44"/>
          <w:highlight w:val="none"/>
        </w:rPr>
      </w:pPr>
      <w:r>
        <w:rPr>
          <w:rFonts w:ascii="方正小标宋_GBK" w:eastAsia="方正小标宋_GBK" w:hAnsi="方正小标宋_GBK" w:cs="方正小标宋_GBK" w:hint="eastAsia"/>
          <w:sz w:val="44"/>
          <w:szCs w:val="44"/>
          <w:highlight w:val="none"/>
        </w:rPr>
        <w:t>部门决算</w:t>
      </w:r>
    </w:p>
    <w:p w14:paraId="79829819">
      <w:pPr>
        <w:jc w:val="center"/>
        <w:rPr>
          <w:rFonts w:ascii="方正小标宋简体" w:eastAsia="方正小标宋简体" w:hAnsi="方正小标宋简体" w:cs="方正小标宋简体" w:hint="eastAsia"/>
          <w:sz w:val="36"/>
          <w:szCs w:val="36"/>
          <w:highlight w:val="none"/>
        </w:rPr>
      </w:pPr>
    </w:p>
    <w:p w14:paraId="4E70CC55">
      <w:pPr>
        <w:jc w:val="center"/>
        <w:outlineLvl w:val="0"/>
        <w:rPr>
          <w:rFonts w:ascii="方正小标宋简体" w:eastAsia="方正小标宋简体" w:hAnsi="方正小标宋简体" w:cs="方正小标宋简体" w:hint="eastAsia"/>
          <w:sz w:val="36"/>
          <w:szCs w:val="36"/>
          <w:highlight w:val="none"/>
          <w:lang w:eastAsia="zh-CN"/>
        </w:rPr>
      </w:pPr>
      <w:r>
        <w:rPr>
          <w:rFonts w:ascii="方正小标宋简体" w:eastAsia="方正小标宋简体" w:hAnsi="方正小标宋简体" w:cs="方正小标宋简体" w:hint="eastAsia"/>
          <w:sz w:val="36"/>
          <w:szCs w:val="36"/>
          <w:highlight w:val="none"/>
          <w:lang w:eastAsia="zh-CN"/>
        </w:rPr>
        <w:t>目录</w:t>
      </w:r>
    </w:p>
    <w:p w14:paraId="69C8434A">
      <w:pPr>
        <w:jc w:val="left"/>
        <w:rPr>
          <w:rFonts w:ascii="黑体" w:eastAsia="黑体" w:hAnsi="黑体" w:hint="eastAsia"/>
          <w:sz w:val="30"/>
          <w:szCs w:val="30"/>
          <w:highlight w:val="none"/>
        </w:rPr>
      </w:pPr>
    </w:p>
    <w:p w14:paraId="62FFF886">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highlight w:val="none"/>
          <w:lang w:eastAsia="zh-CN"/>
        </w:rPr>
        <w:t>单位</w:t>
      </w:r>
      <w:r>
        <w:rPr>
          <w:rFonts w:ascii="黑体" w:eastAsia="黑体" w:hAnsi="黑体" w:hint="eastAsia"/>
          <w:sz w:val="30"/>
          <w:szCs w:val="30"/>
          <w:highlight w:val="none"/>
        </w:rPr>
        <w:t>概况</w:t>
      </w:r>
    </w:p>
    <w:p w14:paraId="7F79A0FB">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一、主要职</w:t>
      </w:r>
      <w:r>
        <w:rPr>
          <w:rFonts w:ascii="楷体" w:eastAsia="楷体" w:hAnsi="楷体" w:hint="eastAsia"/>
          <w:sz w:val="30"/>
          <w:szCs w:val="30"/>
          <w:highlight w:val="none"/>
          <w:lang w:eastAsia="zh-CN"/>
        </w:rPr>
        <w:t>责</w:t>
      </w:r>
    </w:p>
    <w:p w14:paraId="2D130BDE">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二、</w:t>
      </w:r>
      <w:r>
        <w:rPr>
          <w:rFonts w:ascii="楷体" w:eastAsia="楷体" w:hAnsi="楷体" w:hint="eastAsia"/>
          <w:sz w:val="30"/>
          <w:szCs w:val="30"/>
          <w:highlight w:val="none"/>
          <w:lang w:eastAsia="zh-CN"/>
        </w:rPr>
        <w:t>基本情况</w:t>
      </w:r>
    </w:p>
    <w:p w14:paraId="65DDA762">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三、重点工作概述</w:t>
      </w:r>
    </w:p>
    <w:p w14:paraId="21FDC7E8">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年度部门决算表</w:t>
      </w:r>
    </w:p>
    <w:p w14:paraId="40A98987">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14:paraId="3A7CAC5D">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二、收入决算表</w:t>
      </w:r>
    </w:p>
    <w:p w14:paraId="1CE3F1B0">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三、支出决算表</w:t>
      </w:r>
    </w:p>
    <w:p w14:paraId="04610986">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14:paraId="0BAEE46C">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14:paraId="30D8B6C9">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14:paraId="22718AAA">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七、</w:t>
      </w:r>
      <w:r>
        <w:rPr>
          <w:rFonts w:ascii="楷体" w:eastAsia="楷体" w:hAnsi="楷体" w:hint="eastAsia"/>
          <w:sz w:val="30"/>
          <w:szCs w:val="30"/>
          <w:highlight w:val="none"/>
          <w:lang w:eastAsia="zh-CN"/>
        </w:rPr>
        <w:t>一般公共预算财政拨款项目支出决算表</w:t>
      </w:r>
    </w:p>
    <w:p w14:paraId="3ABEB832">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八</w:t>
      </w:r>
      <w:r>
        <w:rPr>
          <w:rFonts w:ascii="楷体" w:eastAsia="楷体" w:hAnsi="楷体" w:hint="eastAsia"/>
          <w:sz w:val="30"/>
          <w:szCs w:val="30"/>
          <w:highlight w:val="none"/>
        </w:rPr>
        <w:t>、政府性基金预算财政拨款收入支出决算表</w:t>
      </w:r>
    </w:p>
    <w:p w14:paraId="49ABD0AA">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九、国有资本经营预算财政拨款收入支出决算表</w:t>
      </w:r>
    </w:p>
    <w:p w14:paraId="5A61B4F9">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十</w:t>
      </w:r>
      <w:r>
        <w:rPr>
          <w:rFonts w:ascii="楷体" w:eastAsia="楷体" w:hAnsi="楷体" w:hint="eastAsia"/>
          <w:sz w:val="30"/>
          <w:szCs w:val="30"/>
          <w:highlight w:val="none"/>
        </w:rPr>
        <w:t>、</w:t>
      </w:r>
      <w:r>
        <w:rPr>
          <w:rFonts w:ascii="楷体" w:eastAsia="楷体" w:hAnsi="楷体" w:hint="eastAsia"/>
          <w:sz w:val="30"/>
          <w:szCs w:val="30"/>
          <w:highlight w:val="none"/>
          <w:lang w:eastAsia="zh-CN"/>
        </w:rPr>
        <w:t>财政拨款</w:t>
      </w:r>
      <w:r>
        <w:rPr>
          <w:rFonts w:ascii="楷体" w:eastAsia="楷体" w:hAnsi="楷体" w:hint="eastAsia"/>
          <w:sz w:val="30"/>
          <w:szCs w:val="30"/>
          <w:highlight w:val="none"/>
        </w:rPr>
        <w:t>“三公”经费、行政参公单位机关运行经费情况表</w:t>
      </w:r>
    </w:p>
    <w:p w14:paraId="0CACEE1E">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val="en-US" w:eastAsia="zh-CN"/>
        </w:rPr>
        <w:t>十一、一般公共预算财政拨款“三公”经费情况表</w:t>
      </w:r>
    </w:p>
    <w:p w14:paraId="284DAD90">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highlight w:val="none"/>
          <w:lang w:eastAsia="zh-CN"/>
        </w:rPr>
        <w:t>分</w:t>
      </w:r>
      <w:r>
        <w:rPr>
          <w:rFonts w:ascii="黑体" w:eastAsia="黑体" w:hAnsi="黑体" w:hint="eastAsia"/>
          <w:sz w:val="30"/>
          <w:szCs w:val="30"/>
          <w:highlight w:val="none"/>
        </w:rPr>
        <w:t xml:space="preserve">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年度部门决算情况说明</w:t>
      </w:r>
    </w:p>
    <w:p w14:paraId="3760EC71">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14:paraId="1569D37E">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14:paraId="31EBC0E4">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14:paraId="124E423B">
      <w:pPr>
        <w:widowControl/>
        <w:snapToGrid w:val="0"/>
        <w:spacing w:before="100" w:after="100" w:line="360" w:lineRule="auto"/>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14:paraId="753D2204">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lang w:eastAsia="zh-CN"/>
        </w:rPr>
        <w:t>第四部分</w:t>
      </w:r>
      <w:r>
        <w:rPr>
          <w:rFonts w:ascii="楷体" w:eastAsia="楷体" w:hAnsi="楷体" w:hint="eastAsia"/>
          <w:sz w:val="30"/>
          <w:szCs w:val="30"/>
          <w:highlight w:val="none"/>
          <w:lang w:val="en-US" w:eastAsia="zh-CN"/>
        </w:rPr>
        <w:t xml:space="preserve">  </w:t>
      </w:r>
      <w:r>
        <w:rPr>
          <w:rFonts w:ascii="黑体" w:eastAsia="黑体" w:hAnsi="黑体" w:hint="eastAsia"/>
          <w:sz w:val="30"/>
          <w:szCs w:val="30"/>
          <w:highlight w:val="none"/>
        </w:rPr>
        <w:t>其他重要事项及相关口径情况说明</w:t>
      </w:r>
    </w:p>
    <w:p w14:paraId="1EEE3808">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机关运行经费支出情况</w:t>
      </w:r>
    </w:p>
    <w:p w14:paraId="4A9DF146">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国有资产占用情况</w:t>
      </w:r>
    </w:p>
    <w:p w14:paraId="046AD305">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w:t>
      </w:r>
      <w:r>
        <w:rPr>
          <w:rFonts w:ascii="楷体" w:eastAsia="楷体" w:hAnsi="楷体" w:hint="eastAsia"/>
          <w:sz w:val="30"/>
          <w:szCs w:val="30"/>
          <w:highlight w:val="none"/>
        </w:rPr>
        <w:t>政府采购支出情况</w:t>
      </w:r>
    </w:p>
    <w:p w14:paraId="2CF6BF76">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四、</w:t>
      </w:r>
      <w:r>
        <w:rPr>
          <w:rFonts w:ascii="楷体" w:eastAsia="楷体" w:hAnsi="楷体" w:hint="eastAsia"/>
          <w:sz w:val="30"/>
          <w:szCs w:val="30"/>
          <w:highlight w:val="none"/>
          <w:lang w:val="en-US" w:eastAsia="zh-CN"/>
        </w:rPr>
        <w:t>单位绩效自评情况</w:t>
      </w:r>
    </w:p>
    <w:p w14:paraId="03F27A05">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五、</w:t>
      </w:r>
      <w:r>
        <w:rPr>
          <w:rFonts w:ascii="楷体" w:eastAsia="楷体" w:hAnsi="楷体" w:hint="eastAsia"/>
          <w:sz w:val="30"/>
          <w:szCs w:val="30"/>
          <w:highlight w:val="none"/>
          <w:lang w:val="en-US" w:eastAsia="zh-CN"/>
        </w:rPr>
        <w:t>其他重要事项情况说明</w:t>
      </w:r>
    </w:p>
    <w:p w14:paraId="28472104">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六、相关口径说明</w:t>
      </w:r>
    </w:p>
    <w:p w14:paraId="7896E7C9">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rPr>
        <w:t>第</w:t>
      </w:r>
      <w:r>
        <w:rPr>
          <w:rFonts w:ascii="黑体" w:eastAsia="黑体" w:hAnsi="黑体" w:hint="eastAsia"/>
          <w:sz w:val="30"/>
          <w:szCs w:val="30"/>
          <w:highlight w:val="none"/>
          <w:lang w:eastAsia="zh-CN"/>
        </w:rPr>
        <w:t>五</w:t>
      </w:r>
      <w:r>
        <w:rPr>
          <w:rFonts w:ascii="黑体" w:eastAsia="黑体" w:hAnsi="黑体" w:hint="eastAsia"/>
          <w:sz w:val="30"/>
          <w:szCs w:val="30"/>
          <w:highlight w:val="none"/>
        </w:rPr>
        <w:t>部分  名词解释</w:t>
      </w:r>
    </w:p>
    <w:p w14:paraId="1B48A20D">
      <w:pPr>
        <w:jc w:val="center"/>
        <w:rPr>
          <w:rFonts w:ascii="黑体" w:eastAsia="黑体" w:hAnsi="黑体" w:hint="eastAsia"/>
          <w:sz w:val="32"/>
          <w:szCs w:val="32"/>
          <w:highlight w:val="none"/>
        </w:rPr>
      </w:pPr>
    </w:p>
    <w:p w14:paraId="04538775">
      <w:pPr>
        <w:jc w:val="center"/>
        <w:rPr>
          <w:rFonts w:ascii="黑体" w:eastAsia="黑体" w:hAnsi="黑体" w:hint="eastAsia"/>
          <w:sz w:val="32"/>
          <w:szCs w:val="32"/>
          <w:highlight w:val="none"/>
        </w:rPr>
      </w:pPr>
    </w:p>
    <w:p w14:paraId="70E595FB">
      <w:pPr>
        <w:jc w:val="center"/>
        <w:rPr>
          <w:rFonts w:ascii="黑体" w:eastAsia="黑体" w:hAnsi="黑体" w:hint="eastAsia"/>
          <w:sz w:val="32"/>
          <w:szCs w:val="32"/>
          <w:highlight w:val="none"/>
        </w:rPr>
      </w:pPr>
    </w:p>
    <w:p w14:paraId="072D8EEF">
      <w:pPr>
        <w:jc w:val="center"/>
        <w:rPr>
          <w:rFonts w:ascii="黑体" w:eastAsia="黑体" w:hAnsi="黑体" w:hint="eastAsia"/>
          <w:sz w:val="32"/>
          <w:szCs w:val="32"/>
          <w:highlight w:val="none"/>
        </w:rPr>
      </w:pPr>
    </w:p>
    <w:p w14:paraId="73A75A84">
      <w:pPr>
        <w:jc w:val="center"/>
        <w:rPr>
          <w:rFonts w:ascii="黑体" w:eastAsia="黑体" w:hAnsi="黑体" w:hint="eastAsia"/>
          <w:sz w:val="32"/>
          <w:szCs w:val="32"/>
          <w:highlight w:val="none"/>
        </w:rPr>
      </w:pPr>
    </w:p>
    <w:p w14:paraId="130C748A">
      <w:pPr>
        <w:jc w:val="both"/>
        <w:rPr>
          <w:rFonts w:ascii="黑体" w:eastAsia="黑体" w:hAnsi="黑体" w:hint="eastAsia"/>
          <w:sz w:val="32"/>
          <w:szCs w:val="32"/>
          <w:highlight w:val="none"/>
        </w:rPr>
      </w:pPr>
    </w:p>
    <w:p w14:paraId="139B3E7D">
      <w:pPr>
        <w:keepNext w:val="0"/>
        <w:keepLines w:val="0"/>
        <w:pageBreakBefore w:val="0"/>
        <w:kinsoku/>
        <w:wordWrap/>
        <w:overflowPunct/>
        <w:topLinePunct w:val="0"/>
        <w:autoSpaceDE/>
        <w:autoSpaceDN/>
        <w:bidi w:val="0"/>
        <w:spacing w:line="590" w:lineRule="exact"/>
        <w:jc w:val="center"/>
        <w:textAlignment w:val="auto"/>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第一部分  </w:t>
      </w:r>
      <w:r>
        <w:rPr>
          <w:rFonts w:ascii="黑体" w:eastAsia="黑体" w:hAnsi="黑体" w:hint="eastAsia"/>
          <w:sz w:val="32"/>
          <w:szCs w:val="32"/>
          <w:highlight w:val="none"/>
          <w:lang w:eastAsia="zh-CN"/>
        </w:rPr>
        <w:t>单位</w:t>
      </w:r>
      <w:r>
        <w:rPr>
          <w:rFonts w:ascii="黑体" w:eastAsia="黑体" w:hAnsi="黑体" w:hint="eastAsia"/>
          <w:sz w:val="32"/>
          <w:szCs w:val="32"/>
          <w:highlight w:val="none"/>
        </w:rPr>
        <w:t>概况</w:t>
      </w:r>
    </w:p>
    <w:p w14:paraId="21089CFB">
      <w:pPr>
        <w:keepNext w:val="0"/>
        <w:keepLines w:val="0"/>
        <w:pageBreakBefore w:val="0"/>
        <w:kinsoku/>
        <w:wordWrap/>
        <w:overflowPunct/>
        <w:topLinePunct w:val="0"/>
        <w:autoSpaceDE/>
        <w:autoSpaceDN/>
        <w:bidi w:val="0"/>
        <w:spacing w:line="590" w:lineRule="exact"/>
        <w:ind w:firstLine="640" w:firstLineChars="200"/>
        <w:textAlignment w:val="auto"/>
        <w:outlineLvl w:val="1"/>
        <w:rPr>
          <w:rFonts w:ascii="方正黑体_GBK" w:eastAsia="方正黑体_GBK" w:hAnsi="方正黑体_GBK" w:cs="方正黑体_GBK" w:hint="eastAsia"/>
          <w:sz w:val="32"/>
          <w:szCs w:val="32"/>
          <w:highlight w:val="none"/>
          <w:lang w:eastAsia="zh-CN"/>
        </w:rPr>
      </w:pPr>
      <w:r>
        <w:rPr>
          <w:rFonts w:ascii="方正黑体_GBK" w:eastAsia="方正黑体_GBK" w:hAnsi="方正黑体_GBK" w:cs="方正黑体_GBK" w:hint="eastAsia"/>
          <w:sz w:val="32"/>
          <w:szCs w:val="32"/>
          <w:highlight w:val="none"/>
        </w:rPr>
        <w:t>一、主要</w:t>
      </w:r>
      <w:r>
        <w:rPr>
          <w:rFonts w:ascii="方正黑体_GBK" w:eastAsia="方正黑体_GBK" w:hAnsi="方正黑体_GBK" w:cs="方正黑体_GBK" w:hint="eastAsia"/>
          <w:sz w:val="32"/>
          <w:szCs w:val="32"/>
          <w:highlight w:val="none"/>
          <w:lang w:eastAsia="zh-CN"/>
        </w:rPr>
        <w:t>职责</w:t>
      </w:r>
    </w:p>
    <w:p w14:paraId="614DF208">
      <w:pPr>
        <w:pStyle w:val="BodyText"/>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bCs/>
          <w:szCs w:val="30"/>
          <w:highlight w:val="none"/>
        </w:rPr>
      </w:pPr>
      <w:r>
        <w:rPr>
          <w:rFonts w:ascii="Times New Roman" w:eastAsia="方正仿宋_GBK" w:hAnsi="Times New Roman" w:cs="方正仿宋_GBK" w:hint="eastAsia"/>
          <w:bCs/>
          <w:color w:val="auto"/>
          <w:sz w:val="32"/>
          <w:szCs w:val="32"/>
          <w:highlight w:val="none"/>
          <w:lang w:val="zh-CN" w:eastAsia="zh-CN"/>
        </w:rPr>
        <w:t>1.贯彻执行国家和省、市、县有关卫生计生工作发展的法律法规和方针政策，履行公共卫生职责，承担辖区内妇幼保健、计划生育技术服务和相关医疗保健服务。2.掌握本辖区妇女儿童健康和计划生育状况及影响因素，协助县卫生健康局拟订本辖区妇幼保健、计划生育工作的相关政策、技术规范及各项规章制度。3.受卫生健康局委托对本辖区各级各类医疗保健机构开展的妇幼保健、计划卫生服务工作进行检查、考核与评价。4.负责指导和开展本辖区的妇幼保健、计划生育健康教育与健康促进工作。5.组织实施本辖区母婴保健、计划生育技术培训，对基层妇幼保健、计划生育服务机构开展业务指导，并提供技术支持。6.负责本辖区孕产妇死亡、婴儿及5岁以下儿童死亡、出生缺陷监测、妇幼卫生计生服务及技术管理等信息的收集、统计、分析、质量控制和汇总上报。7.开展妇女保健服务，包括青春期保健、婚前和孕前保健、孕产期保健、更年期保健、老年期保健。8.重点加强心理卫生咨询、营养指导、计划生育技术服务、生殖道感染/性传播疾病等妇女常见病防治。9.开展妇科疾病的诊疗工作，做好全县各乡镇（街道）妇科、产科的业务指导。10.开展儿童保健服务，包括胎儿期、新生儿期、婴幼儿期、学龄前期及学龄期保健，受卫生健康部门委托对托幼园所卫生保健进行管理和业务指导。11.重点加强儿童早期综合发展、营养与喂养指导、生长发育监测、心理行为咨询、儿童疾病综合管理等儿童保健服务。12.开展儿童常见疾病的诊断治疗工作。13.开展妇幼卫生、生殖健康的应用性科学研究并组织推广适宜技术。14.提供基本医疗服务，包括妇女儿童常见疾病诊治、计划生育技术服务、产前筛查、新生儿疾病筛查、助产技术服务等，根据需要和条件，开展内科、产科、产前诊断、产科并发症处理、新生儿危重抢救和治疗等。15.负责以宣传教育为主、避孕为主、经常性工作为主的“三为方针”，进行计划生育基础知识系列的教育，在育龄人群中普及避孕节育、优生优育。16.负责围绕生育、节育、不育开展技术服务、咨询服务和优生优育指导、对基层干部和计划生育宣传员进行宣传、技术、药具等知识培训。17.负责常规随访、术后随访，开展经常性的孕情、环情监测服务，组织开展育龄群众生殖健康普查和综合防治工作。18.负责指导育龄群众落实有效的避孕措施，做好避孕药具的宣传、培训、管理、发放、咨询等工作。19.负责做好提高出生人口素质、优化出生婴儿性别结构工作。20.实施关爱妇女儿童健康行动项目、国家重大公共卫生、国家基本公共卫生服务，开展居民健康档案管理，预防艾滋病、梅毒和乙肝母婴传播阻断工作，开展宫颈癌、乳腺癌的筛查工作。21.按相关法律、法规的规定出具医学证明、计划生育手术各种证明。</w:t>
      </w:r>
    </w:p>
    <w:p w14:paraId="7795ED85">
      <w:pPr>
        <w:keepNext w:val="0"/>
        <w:keepLines w:val="0"/>
        <w:pageBreakBefore w:val="0"/>
        <w:kinsoku/>
        <w:wordWrap/>
        <w:overflowPunct/>
        <w:topLinePunct w:val="0"/>
        <w:autoSpaceDE/>
        <w:autoSpaceDN/>
        <w:bidi w:val="0"/>
        <w:spacing w:line="590" w:lineRule="exact"/>
        <w:ind w:firstLine="640" w:firstLineChars="200"/>
        <w:textAlignment w:val="auto"/>
        <w:outlineLvl w:val="1"/>
        <w:rPr>
          <w:rFonts w:ascii="方正黑体_GBK" w:eastAsia="方正黑体_GBK" w:hAnsi="方正黑体_GBK" w:cs="方正黑体_GBK" w:hint="eastAsia"/>
          <w:sz w:val="32"/>
          <w:szCs w:val="32"/>
          <w:highlight w:val="none"/>
        </w:rPr>
      </w:pPr>
      <w:r>
        <w:rPr>
          <w:rFonts w:ascii="方正黑体_GBK" w:eastAsia="方正黑体_GBK" w:hAnsi="方正黑体_GBK" w:cs="方正黑体_GBK" w:hint="eastAsia"/>
          <w:sz w:val="32"/>
          <w:szCs w:val="32"/>
          <w:highlight w:val="none"/>
        </w:rPr>
        <w:t>二、基本情况</w:t>
      </w:r>
    </w:p>
    <w:p w14:paraId="6B1E69D8">
      <w:pPr>
        <w:keepNext w:val="0"/>
        <w:keepLines w:val="0"/>
        <w:pageBreakBefore w:val="0"/>
        <w:kinsoku/>
        <w:wordWrap/>
        <w:overflowPunct/>
        <w:topLinePunct w:val="0"/>
        <w:autoSpaceDE/>
        <w:autoSpaceDN/>
        <w:bidi w:val="0"/>
        <w:spacing w:line="590" w:lineRule="exact"/>
        <w:ind w:firstLine="640" w:firstLineChars="200"/>
        <w:textAlignment w:val="auto"/>
        <w:outlineLvl w:val="2"/>
        <w:rPr>
          <w:rFonts w:ascii="方正楷体_GBK" w:eastAsia="方正楷体_GBK" w:hAnsi="方正楷体_GBK" w:cs="方正楷体_GBK" w:hint="eastAsia"/>
          <w:sz w:val="32"/>
          <w:szCs w:val="32"/>
          <w:highlight w:val="none"/>
        </w:rPr>
      </w:pPr>
      <w:r>
        <w:rPr>
          <w:rFonts w:ascii="方正楷体_GBK" w:eastAsia="方正楷体_GBK" w:hAnsi="方正楷体_GBK" w:cs="方正楷体_GBK" w:hint="eastAsia"/>
          <w:sz w:val="32"/>
          <w:szCs w:val="32"/>
          <w:highlight w:val="none"/>
        </w:rPr>
        <w:t>（一）机构设置情况</w:t>
      </w:r>
    </w:p>
    <w:p w14:paraId="5061182B">
      <w:pPr>
        <w:pStyle w:val="BodyText"/>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Times New Roman" w:eastAsia="方正仿宋_GBK" w:hAnsi="Times New Roman" w:cs="方正仿宋_GBK" w:hint="eastAsia"/>
          <w:bCs/>
          <w:color w:val="auto"/>
          <w:sz w:val="32"/>
          <w:szCs w:val="32"/>
          <w:highlight w:val="none"/>
          <w:lang w:val="zh-CN" w:eastAsia="zh-CN"/>
        </w:rPr>
      </w:pPr>
      <w:r>
        <w:rPr>
          <w:rFonts w:ascii="Times New Roman" w:eastAsia="方正仿宋_GBK" w:hAnsi="Times New Roman" w:cs="方正仿宋_GBK" w:hint="eastAsia"/>
          <w:bCs/>
          <w:color w:val="auto"/>
          <w:sz w:val="32"/>
          <w:szCs w:val="32"/>
          <w:highlight w:val="none"/>
          <w:lang w:val="zh-CN" w:eastAsia="zh-CN"/>
        </w:rPr>
        <w:t>我单位共设置24个内设机构，包括：党政办公室、人事科、设备后勤科、医务科、科教科、医保科、公共卫生科、财务科、护理部、感控办、健康教育科、信息科、孕产保健科、产科、妇女保健科、妇科、计划生育指导科、避孕药具管理科、计划生育技术服务科、儿童保健科、儿科、医学影像科、药剂科、检验科。</w:t>
      </w:r>
    </w:p>
    <w:p w14:paraId="43FD8780">
      <w:pPr>
        <w:pStyle w:val="BodyText"/>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仿宋_GB2312" w:eastAsia="仿宋_GB2312" w:hint="eastAsia"/>
          <w:sz w:val="30"/>
          <w:szCs w:val="30"/>
          <w:highlight w:val="none"/>
          <w:lang w:val="en-US" w:eastAsia="zh-CN"/>
        </w:rPr>
      </w:pPr>
      <w:r>
        <w:rPr>
          <w:rFonts w:ascii="Times New Roman" w:eastAsia="方正仿宋_GBK" w:hAnsi="Times New Roman" w:cs="方正仿宋_GBK" w:hint="eastAsia"/>
          <w:bCs/>
          <w:color w:val="auto"/>
          <w:sz w:val="32"/>
          <w:szCs w:val="32"/>
          <w:highlight w:val="none"/>
          <w:lang w:val="zh-CN" w:eastAsia="zh-CN"/>
        </w:rPr>
        <w:t>我单位为基层预算单位，无下属单位。</w:t>
      </w:r>
    </w:p>
    <w:p w14:paraId="25F86359">
      <w:pPr>
        <w:keepNext w:val="0"/>
        <w:keepLines w:val="0"/>
        <w:pageBreakBefore w:val="0"/>
        <w:kinsoku/>
        <w:wordWrap/>
        <w:overflowPunct/>
        <w:topLinePunct w:val="0"/>
        <w:autoSpaceDE/>
        <w:autoSpaceDN/>
        <w:bidi w:val="0"/>
        <w:spacing w:line="590" w:lineRule="exact"/>
        <w:ind w:firstLine="640" w:firstLineChars="200"/>
        <w:textAlignment w:val="auto"/>
        <w:outlineLvl w:val="2"/>
        <w:rPr>
          <w:rFonts w:ascii="方正楷体_GBK" w:eastAsia="方正楷体_GBK" w:hAnsi="方正楷体_GBK" w:cs="方正楷体_GBK" w:hint="eastAsia"/>
          <w:sz w:val="32"/>
          <w:szCs w:val="32"/>
          <w:highlight w:val="none"/>
        </w:rPr>
      </w:pPr>
      <w:r>
        <w:rPr>
          <w:rFonts w:ascii="方正楷体_GBK" w:eastAsia="方正楷体_GBK" w:hAnsi="方正楷体_GBK" w:cs="方正楷体_GBK" w:hint="eastAsia"/>
          <w:sz w:val="32"/>
          <w:szCs w:val="32"/>
          <w:highlight w:val="none"/>
          <w:lang w:eastAsia="zh-CN"/>
        </w:rPr>
        <w:t>（二）</w:t>
      </w:r>
      <w:r>
        <w:rPr>
          <w:rFonts w:ascii="方正楷体_GBK" w:eastAsia="方正楷体_GBK" w:hAnsi="方正楷体_GBK" w:cs="方正楷体_GBK" w:hint="eastAsia"/>
          <w:sz w:val="32"/>
          <w:szCs w:val="32"/>
          <w:highlight w:val="none"/>
        </w:rPr>
        <w:t>决算单位构成</w:t>
      </w:r>
    </w:p>
    <w:p w14:paraId="35C322A5">
      <w:pPr>
        <w:pStyle w:val="BodyText"/>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仿宋_GB2312" w:eastAsia="仿宋_GB2312" w:hint="eastAsia"/>
          <w:sz w:val="30"/>
          <w:szCs w:val="30"/>
          <w:highlight w:val="none"/>
        </w:rPr>
      </w:pPr>
      <w:r>
        <w:rPr>
          <w:rFonts w:ascii="Times New Roman" w:eastAsia="方正仿宋_GBK" w:hAnsi="Times New Roman" w:cs="方正仿宋_GBK" w:hint="eastAsia"/>
          <w:bCs/>
          <w:color w:val="auto"/>
          <w:sz w:val="32"/>
          <w:szCs w:val="32"/>
          <w:highlight w:val="none"/>
          <w:lang w:val="zh-CN" w:eastAsia="zh-CN"/>
        </w:rPr>
        <w:t>我单位作为</w:t>
      </w:r>
      <w:r>
        <w:rPr>
          <w:rFonts w:ascii="Times New Roman" w:eastAsia="方正仿宋_GBK" w:hAnsi="Times New Roman" w:cs="方正仿宋_GBK" w:hint="eastAsia"/>
          <w:bCs/>
          <w:color w:val="auto"/>
          <w:sz w:val="32"/>
          <w:szCs w:val="32"/>
          <w:highlight w:val="none"/>
          <w:lang w:val="en-US" w:eastAsia="zh-CN"/>
        </w:rPr>
        <w:t>峨山彝族自治县卫生健康局的</w:t>
      </w:r>
      <w:r>
        <w:rPr>
          <w:rFonts w:ascii="Times New Roman" w:eastAsia="方正仿宋_GBK" w:hAnsi="Times New Roman" w:cs="方正仿宋_GBK" w:hint="eastAsia"/>
          <w:bCs/>
          <w:color w:val="auto"/>
          <w:sz w:val="32"/>
          <w:szCs w:val="32"/>
          <w:highlight w:val="none"/>
          <w:lang w:val="zh-CN" w:eastAsia="zh-CN"/>
        </w:rPr>
        <w:t>二级预算单位纳入</w:t>
      </w:r>
      <w:r>
        <w:rPr>
          <w:rFonts w:ascii="Times New Roman" w:eastAsia="方正仿宋_GBK" w:hAnsi="Times New Roman" w:cs="方正仿宋_GBK" w:hint="eastAsia"/>
          <w:bCs/>
          <w:color w:val="auto"/>
          <w:sz w:val="32"/>
          <w:szCs w:val="32"/>
          <w:highlight w:val="none"/>
          <w:lang w:val="en-US" w:eastAsia="zh-CN"/>
        </w:rPr>
        <w:t>2024</w:t>
      </w:r>
      <w:r>
        <w:rPr>
          <w:rFonts w:ascii="Times New Roman" w:eastAsia="方正仿宋_GBK" w:hAnsi="Times New Roman" w:cs="方正仿宋_GBK" w:hint="eastAsia"/>
          <w:bCs/>
          <w:color w:val="auto"/>
          <w:sz w:val="32"/>
          <w:szCs w:val="32"/>
          <w:highlight w:val="none"/>
          <w:lang w:val="zh-CN" w:eastAsia="zh-CN"/>
        </w:rPr>
        <w:t>年度部门决算编报范围。</w:t>
      </w:r>
    </w:p>
    <w:p w14:paraId="4E0C9340">
      <w:pPr>
        <w:keepNext w:val="0"/>
        <w:keepLines w:val="0"/>
        <w:pageBreakBefore w:val="0"/>
        <w:kinsoku/>
        <w:wordWrap/>
        <w:overflowPunct/>
        <w:topLinePunct w:val="0"/>
        <w:autoSpaceDE/>
        <w:autoSpaceDN/>
        <w:bidi w:val="0"/>
        <w:spacing w:line="590" w:lineRule="exact"/>
        <w:ind w:firstLine="640" w:firstLineChars="200"/>
        <w:textAlignment w:val="auto"/>
        <w:outlineLvl w:val="2"/>
        <w:rPr>
          <w:rFonts w:ascii="楷体" w:eastAsia="楷体" w:hAnsi="楷体" w:hint="eastAsia"/>
          <w:sz w:val="30"/>
          <w:szCs w:val="30"/>
          <w:highlight w:val="none"/>
        </w:rPr>
      </w:pPr>
      <w:r>
        <w:rPr>
          <w:rFonts w:ascii="方正楷体_GBK" w:eastAsia="方正楷体_GBK" w:hAnsi="方正楷体_GBK" w:cs="方正楷体_GBK" w:hint="eastAsia"/>
          <w:sz w:val="32"/>
          <w:szCs w:val="32"/>
          <w:highlight w:val="none"/>
          <w:lang w:eastAsia="zh-CN"/>
        </w:rPr>
        <w:t>（三）单位人员和车辆的编制及实有情况</w:t>
      </w:r>
      <w:r>
        <w:rPr>
          <w:rFonts w:ascii="楷体" w:eastAsia="楷体" w:hAnsi="楷体" w:hint="eastAsia"/>
          <w:sz w:val="30"/>
          <w:szCs w:val="30"/>
          <w:highlight w:val="none"/>
        </w:rPr>
        <w:t xml:space="preserve"> </w:t>
      </w:r>
    </w:p>
    <w:p w14:paraId="3367A5F4">
      <w:pPr>
        <w:pStyle w:val="BodyText"/>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Times New Roman" w:eastAsia="方正仿宋_GBK" w:hAnsi="Times New Roman" w:cs="方正仿宋_GBK" w:hint="eastAsia"/>
          <w:bCs/>
          <w:color w:val="auto"/>
          <w:sz w:val="32"/>
          <w:szCs w:val="32"/>
          <w:highlight w:val="none"/>
          <w:lang w:val="zh-CN" w:eastAsia="zh-CN"/>
        </w:rPr>
      </w:pPr>
      <w:r>
        <w:rPr>
          <w:rFonts w:ascii="Times New Roman" w:eastAsia="方正仿宋_GBK" w:hAnsi="Times New Roman" w:cs="方正仿宋_GBK" w:hint="eastAsia"/>
          <w:bCs/>
          <w:color w:val="auto"/>
          <w:sz w:val="32"/>
          <w:szCs w:val="32"/>
          <w:highlight w:val="none"/>
          <w:lang w:val="zh-CN" w:eastAsia="zh-CN"/>
        </w:rPr>
        <w:t>我单位</w:t>
      </w:r>
      <w:r>
        <w:rPr>
          <w:rFonts w:ascii="Times New Roman" w:eastAsia="方正仿宋_GBK" w:hAnsi="Times New Roman" w:cs="方正仿宋_GBK" w:hint="eastAsia"/>
          <w:bCs/>
          <w:color w:val="auto"/>
          <w:sz w:val="32"/>
          <w:szCs w:val="32"/>
          <w:highlight w:val="none"/>
          <w:lang w:val="en-US" w:eastAsia="zh-CN"/>
        </w:rPr>
        <w:t>2024</w:t>
      </w:r>
      <w:r>
        <w:rPr>
          <w:rFonts w:ascii="Times New Roman" w:eastAsia="方正仿宋_GBK" w:hAnsi="Times New Roman" w:cs="方正仿宋_GBK" w:hint="eastAsia"/>
          <w:bCs/>
          <w:color w:val="auto"/>
          <w:sz w:val="32"/>
          <w:szCs w:val="32"/>
          <w:highlight w:val="none"/>
          <w:lang w:val="zh-CN" w:eastAsia="zh-CN"/>
        </w:rPr>
        <w:t>年末编制内实有人员</w:t>
      </w:r>
      <w:r>
        <w:rPr>
          <w:rFonts w:ascii="Times New Roman" w:eastAsia="方正仿宋_GBK" w:hAnsi="Times New Roman" w:cs="方正仿宋_GBK" w:hint="eastAsia"/>
          <w:bCs/>
          <w:color w:val="auto"/>
          <w:sz w:val="32"/>
          <w:szCs w:val="32"/>
          <w:highlight w:val="none"/>
          <w:lang w:val="en-US" w:eastAsia="zh-CN"/>
        </w:rPr>
        <w:t>55</w:t>
      </w:r>
      <w:r>
        <w:rPr>
          <w:rFonts w:ascii="Times New Roman" w:eastAsia="方正仿宋_GBK" w:hAnsi="Times New Roman" w:cs="方正仿宋_GBK" w:hint="eastAsia"/>
          <w:bCs/>
          <w:color w:val="auto"/>
          <w:sz w:val="32"/>
          <w:szCs w:val="32"/>
          <w:highlight w:val="none"/>
          <w:lang w:val="zh-CN" w:eastAsia="zh-CN"/>
        </w:rPr>
        <w:t>人。包括财政拨款开支经费的：公务员</w:t>
      </w:r>
      <w:r>
        <w:rPr>
          <w:rFonts w:ascii="Times New Roman" w:eastAsia="方正仿宋_GBK" w:hAnsi="Times New Roman" w:cs="方正仿宋_GBK" w:hint="eastAsia"/>
          <w:bCs/>
          <w:color w:val="auto"/>
          <w:sz w:val="32"/>
          <w:szCs w:val="32"/>
          <w:highlight w:val="none"/>
          <w:lang w:val="en-US" w:eastAsia="zh-CN"/>
        </w:rPr>
        <w:t>0</w:t>
      </w:r>
      <w:r>
        <w:rPr>
          <w:rFonts w:ascii="Times New Roman" w:eastAsia="方正仿宋_GBK" w:hAnsi="Times New Roman" w:cs="方正仿宋_GBK" w:hint="eastAsia"/>
          <w:bCs/>
          <w:color w:val="auto"/>
          <w:sz w:val="32"/>
          <w:szCs w:val="32"/>
          <w:highlight w:val="none"/>
          <w:lang w:val="zh-CN" w:eastAsia="zh-CN"/>
        </w:rPr>
        <w:t>人，参照公务员法管理人员</w:t>
      </w:r>
      <w:r>
        <w:rPr>
          <w:rFonts w:ascii="Times New Roman" w:eastAsia="方正仿宋_GBK" w:hAnsi="Times New Roman" w:cs="方正仿宋_GBK" w:hint="eastAsia"/>
          <w:bCs/>
          <w:color w:val="auto"/>
          <w:sz w:val="32"/>
          <w:szCs w:val="32"/>
          <w:highlight w:val="none"/>
          <w:lang w:val="en-US" w:eastAsia="zh-CN"/>
        </w:rPr>
        <w:t>0</w:t>
      </w:r>
      <w:r>
        <w:rPr>
          <w:rFonts w:ascii="Times New Roman" w:eastAsia="方正仿宋_GBK" w:hAnsi="Times New Roman" w:cs="方正仿宋_GBK" w:hint="eastAsia"/>
          <w:bCs/>
          <w:color w:val="auto"/>
          <w:sz w:val="32"/>
          <w:szCs w:val="32"/>
          <w:highlight w:val="none"/>
          <w:lang w:val="zh-CN" w:eastAsia="zh-CN"/>
        </w:rPr>
        <w:t>人，事业管理人员和专业技术人员</w:t>
      </w:r>
      <w:r>
        <w:rPr>
          <w:rFonts w:ascii="Times New Roman" w:eastAsia="方正仿宋_GBK" w:hAnsi="Times New Roman" w:cs="方正仿宋_GBK" w:hint="eastAsia"/>
          <w:bCs/>
          <w:color w:val="auto"/>
          <w:sz w:val="32"/>
          <w:szCs w:val="32"/>
          <w:highlight w:val="none"/>
          <w:lang w:val="en-US" w:eastAsia="zh-CN"/>
        </w:rPr>
        <w:t>55</w:t>
      </w:r>
      <w:r>
        <w:rPr>
          <w:rFonts w:ascii="Times New Roman" w:eastAsia="方正仿宋_GBK" w:hAnsi="Times New Roman" w:cs="方正仿宋_GBK" w:hint="eastAsia"/>
          <w:bCs/>
          <w:color w:val="auto"/>
          <w:sz w:val="32"/>
          <w:szCs w:val="32"/>
          <w:highlight w:val="none"/>
          <w:lang w:val="zh-CN" w:eastAsia="zh-CN"/>
        </w:rPr>
        <w:t>人，机关和事业工人</w:t>
      </w:r>
      <w:r>
        <w:rPr>
          <w:rFonts w:ascii="Times New Roman" w:eastAsia="方正仿宋_GBK" w:hAnsi="Times New Roman" w:cs="方正仿宋_GBK" w:hint="eastAsia"/>
          <w:bCs/>
          <w:color w:val="auto"/>
          <w:sz w:val="32"/>
          <w:szCs w:val="32"/>
          <w:highlight w:val="none"/>
          <w:lang w:val="en-US" w:eastAsia="zh-CN"/>
        </w:rPr>
        <w:t>0</w:t>
      </w:r>
      <w:r>
        <w:rPr>
          <w:rFonts w:ascii="Times New Roman" w:eastAsia="方正仿宋_GBK" w:hAnsi="Times New Roman" w:cs="方正仿宋_GBK" w:hint="eastAsia"/>
          <w:bCs/>
          <w:color w:val="auto"/>
          <w:sz w:val="32"/>
          <w:szCs w:val="32"/>
          <w:highlight w:val="none"/>
          <w:lang w:val="zh-CN" w:eastAsia="zh-CN"/>
        </w:rPr>
        <w:t>人；经费自理人员</w:t>
      </w:r>
      <w:r>
        <w:rPr>
          <w:rFonts w:ascii="Times New Roman" w:eastAsia="方正仿宋_GBK" w:hAnsi="Times New Roman" w:cs="方正仿宋_GBK" w:hint="eastAsia"/>
          <w:bCs/>
          <w:color w:val="auto"/>
          <w:sz w:val="32"/>
          <w:szCs w:val="32"/>
          <w:highlight w:val="none"/>
          <w:lang w:val="en-US" w:eastAsia="zh-CN"/>
        </w:rPr>
        <w:t>0</w:t>
      </w:r>
      <w:r>
        <w:rPr>
          <w:rFonts w:ascii="Times New Roman" w:eastAsia="方正仿宋_GBK" w:hAnsi="Times New Roman" w:cs="方正仿宋_GBK" w:hint="eastAsia"/>
          <w:bCs/>
          <w:color w:val="auto"/>
          <w:sz w:val="32"/>
          <w:szCs w:val="32"/>
          <w:highlight w:val="none"/>
          <w:lang w:val="zh-CN" w:eastAsia="zh-CN"/>
        </w:rPr>
        <w:t>人。</w:t>
      </w:r>
    </w:p>
    <w:p w14:paraId="036D2366">
      <w:pPr>
        <w:pStyle w:val="BodyText"/>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Times New Roman" w:eastAsia="方正仿宋_GBK" w:hAnsi="Times New Roman" w:cs="方正仿宋_GBK" w:hint="eastAsia"/>
          <w:bCs/>
          <w:color w:val="auto"/>
          <w:sz w:val="32"/>
          <w:szCs w:val="32"/>
          <w:highlight w:val="none"/>
          <w:lang w:val="en-US" w:eastAsia="zh-CN"/>
        </w:rPr>
      </w:pPr>
      <w:r>
        <w:rPr>
          <w:rFonts w:ascii="Times New Roman" w:eastAsia="方正仿宋_GBK" w:hAnsi="Times New Roman" w:cs="方正仿宋_GBK" w:hint="eastAsia"/>
          <w:bCs/>
          <w:color w:val="auto"/>
          <w:sz w:val="32"/>
          <w:szCs w:val="32"/>
          <w:highlight w:val="none"/>
          <w:lang w:val="zh-CN" w:eastAsia="zh-CN"/>
        </w:rPr>
        <w:t>我单位</w:t>
      </w:r>
      <w:r>
        <w:rPr>
          <w:rFonts w:ascii="Times New Roman" w:eastAsia="方正仿宋_GBK" w:hAnsi="Times New Roman" w:cs="方正仿宋_GBK" w:hint="eastAsia"/>
          <w:bCs/>
          <w:color w:val="auto"/>
          <w:sz w:val="32"/>
          <w:szCs w:val="32"/>
          <w:highlight w:val="none"/>
          <w:lang w:val="en-US" w:eastAsia="zh-CN"/>
        </w:rPr>
        <w:t>2024</w:t>
      </w:r>
      <w:r>
        <w:rPr>
          <w:rFonts w:ascii="Times New Roman" w:eastAsia="方正仿宋_GBK" w:hAnsi="Times New Roman" w:cs="方正仿宋_GBK" w:hint="eastAsia"/>
          <w:bCs/>
          <w:color w:val="auto"/>
          <w:sz w:val="32"/>
          <w:szCs w:val="32"/>
          <w:highlight w:val="none"/>
          <w:lang w:val="zh-CN" w:eastAsia="zh-CN"/>
        </w:rPr>
        <w:t>年末其他人员</w:t>
      </w:r>
      <w:r>
        <w:rPr>
          <w:rFonts w:ascii="Times New Roman" w:eastAsia="方正仿宋_GBK" w:hAnsi="Times New Roman" w:cs="方正仿宋_GBK" w:hint="eastAsia"/>
          <w:bCs/>
          <w:color w:val="auto"/>
          <w:sz w:val="32"/>
          <w:szCs w:val="32"/>
          <w:highlight w:val="none"/>
          <w:lang w:val="en-US" w:eastAsia="zh-CN"/>
        </w:rPr>
        <w:t>0人。包括财政拨款开支经费的人员0</w:t>
      </w:r>
      <w:r>
        <w:rPr>
          <w:rFonts w:ascii="Times New Roman" w:eastAsia="方正仿宋_GBK" w:hAnsi="Times New Roman" w:cs="方正仿宋_GBK" w:hint="eastAsia"/>
          <w:bCs/>
          <w:color w:val="auto"/>
          <w:sz w:val="32"/>
          <w:szCs w:val="32"/>
          <w:highlight w:val="none"/>
          <w:lang w:val="zh-CN" w:eastAsia="zh-CN"/>
        </w:rPr>
        <w:t>人；经费自理人员</w:t>
      </w:r>
      <w:r>
        <w:rPr>
          <w:rFonts w:ascii="Times New Roman" w:eastAsia="方正仿宋_GBK" w:hAnsi="Times New Roman" w:cs="方正仿宋_GBK" w:hint="eastAsia"/>
          <w:bCs/>
          <w:color w:val="auto"/>
          <w:sz w:val="32"/>
          <w:szCs w:val="32"/>
          <w:highlight w:val="none"/>
          <w:lang w:val="en-US" w:eastAsia="zh-CN"/>
        </w:rPr>
        <w:t>0</w:t>
      </w:r>
      <w:r>
        <w:rPr>
          <w:rFonts w:ascii="Times New Roman" w:eastAsia="方正仿宋_GBK" w:hAnsi="Times New Roman" w:cs="方正仿宋_GBK" w:hint="eastAsia"/>
          <w:bCs/>
          <w:color w:val="auto"/>
          <w:sz w:val="32"/>
          <w:szCs w:val="32"/>
          <w:highlight w:val="none"/>
          <w:lang w:val="zh-CN" w:eastAsia="zh-CN"/>
        </w:rPr>
        <w:t>人。</w:t>
      </w:r>
    </w:p>
    <w:p w14:paraId="67B23203">
      <w:pPr>
        <w:pStyle w:val="BodyText"/>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Times New Roman" w:eastAsia="方正仿宋_GBK" w:hAnsi="Times New Roman" w:cs="方正仿宋_GBK" w:hint="default"/>
          <w:bCs/>
          <w:color w:val="auto"/>
          <w:sz w:val="32"/>
          <w:szCs w:val="32"/>
          <w:highlight w:val="none"/>
          <w:lang w:val="en-US" w:eastAsia="zh-CN"/>
        </w:rPr>
      </w:pPr>
      <w:r>
        <w:rPr>
          <w:rFonts w:ascii="Times New Roman" w:eastAsia="方正仿宋_GBK" w:hAnsi="Times New Roman" w:cs="方正仿宋_GBK" w:hint="eastAsia"/>
          <w:bCs/>
          <w:color w:val="auto"/>
          <w:sz w:val="32"/>
          <w:szCs w:val="32"/>
          <w:highlight w:val="none"/>
          <w:lang w:val="zh-CN" w:eastAsia="zh-CN"/>
        </w:rPr>
        <w:t>年末尚未移交养老保险基金发放养老金的离退休人员共计</w:t>
      </w:r>
      <w:r>
        <w:rPr>
          <w:rFonts w:ascii="Times New Roman" w:eastAsia="方正仿宋_GBK" w:hAnsi="Times New Roman" w:cs="方正仿宋_GBK" w:hint="eastAsia"/>
          <w:bCs/>
          <w:color w:val="auto"/>
          <w:sz w:val="32"/>
          <w:szCs w:val="32"/>
          <w:highlight w:val="none"/>
          <w:lang w:val="en-US" w:eastAsia="zh-CN"/>
        </w:rPr>
        <w:t>0</w:t>
      </w:r>
      <w:r>
        <w:rPr>
          <w:rFonts w:ascii="Times New Roman" w:eastAsia="方正仿宋_GBK" w:hAnsi="Times New Roman" w:cs="方正仿宋_GBK" w:hint="eastAsia"/>
          <w:bCs/>
          <w:color w:val="auto"/>
          <w:sz w:val="32"/>
          <w:szCs w:val="32"/>
          <w:highlight w:val="none"/>
          <w:lang w:val="zh-CN" w:eastAsia="zh-CN"/>
        </w:rPr>
        <w:t>人（离休</w:t>
      </w:r>
      <w:r>
        <w:rPr>
          <w:rFonts w:ascii="Times New Roman" w:eastAsia="方正仿宋_GBK" w:hAnsi="Times New Roman" w:cs="方正仿宋_GBK" w:hint="eastAsia"/>
          <w:bCs/>
          <w:color w:val="auto"/>
          <w:sz w:val="32"/>
          <w:szCs w:val="32"/>
          <w:highlight w:val="none"/>
          <w:lang w:val="en-US" w:eastAsia="zh-CN"/>
        </w:rPr>
        <w:t>0</w:t>
      </w:r>
      <w:r>
        <w:rPr>
          <w:rFonts w:ascii="Times New Roman" w:eastAsia="方正仿宋_GBK" w:hAnsi="Times New Roman" w:cs="方正仿宋_GBK" w:hint="eastAsia"/>
          <w:bCs/>
          <w:color w:val="auto"/>
          <w:sz w:val="32"/>
          <w:szCs w:val="32"/>
          <w:highlight w:val="none"/>
          <w:lang w:val="zh-CN" w:eastAsia="zh-CN"/>
        </w:rPr>
        <w:t>人，退休</w:t>
      </w:r>
      <w:r>
        <w:rPr>
          <w:rFonts w:ascii="Times New Roman" w:eastAsia="方正仿宋_GBK" w:hAnsi="Times New Roman" w:cs="方正仿宋_GBK" w:hint="eastAsia"/>
          <w:bCs/>
          <w:color w:val="auto"/>
          <w:sz w:val="32"/>
          <w:szCs w:val="32"/>
          <w:highlight w:val="none"/>
          <w:lang w:val="en-US" w:eastAsia="zh-CN"/>
        </w:rPr>
        <w:t>0</w:t>
      </w:r>
      <w:r>
        <w:rPr>
          <w:rFonts w:ascii="Times New Roman" w:eastAsia="方正仿宋_GBK" w:hAnsi="Times New Roman" w:cs="方正仿宋_GBK" w:hint="eastAsia"/>
          <w:bCs/>
          <w:color w:val="auto"/>
          <w:sz w:val="32"/>
          <w:szCs w:val="32"/>
          <w:highlight w:val="none"/>
          <w:lang w:val="zh-CN" w:eastAsia="zh-CN"/>
        </w:rPr>
        <w:t>人）。年末由养老保险基金发放养老金的离退休人员</w:t>
      </w:r>
      <w:r>
        <w:rPr>
          <w:rFonts w:ascii="Times New Roman" w:eastAsia="方正仿宋_GBK" w:hAnsi="Times New Roman" w:cs="方正仿宋_GBK" w:hint="eastAsia"/>
          <w:bCs/>
          <w:color w:val="auto"/>
          <w:sz w:val="32"/>
          <w:szCs w:val="32"/>
          <w:highlight w:val="none"/>
          <w:lang w:val="en-US" w:eastAsia="zh-CN"/>
        </w:rPr>
        <w:t>28人</w:t>
      </w:r>
      <w:r>
        <w:rPr>
          <w:rFonts w:ascii="Times New Roman" w:eastAsia="方正仿宋_GBK" w:hAnsi="Times New Roman" w:cs="方正仿宋_GBK" w:hint="eastAsia"/>
          <w:bCs/>
          <w:color w:val="auto"/>
          <w:sz w:val="32"/>
          <w:szCs w:val="32"/>
          <w:highlight w:val="none"/>
          <w:lang w:val="zh-CN" w:eastAsia="zh-CN"/>
        </w:rPr>
        <w:t>（离休</w:t>
      </w:r>
      <w:r>
        <w:rPr>
          <w:rFonts w:ascii="Times New Roman" w:eastAsia="方正仿宋_GBK" w:hAnsi="Times New Roman" w:cs="方正仿宋_GBK" w:hint="eastAsia"/>
          <w:bCs/>
          <w:color w:val="auto"/>
          <w:sz w:val="32"/>
          <w:szCs w:val="32"/>
          <w:highlight w:val="none"/>
          <w:lang w:val="en-US" w:eastAsia="zh-CN"/>
        </w:rPr>
        <w:t>0</w:t>
      </w:r>
      <w:r>
        <w:rPr>
          <w:rFonts w:ascii="Times New Roman" w:eastAsia="方正仿宋_GBK" w:hAnsi="Times New Roman" w:cs="方正仿宋_GBK" w:hint="eastAsia"/>
          <w:bCs/>
          <w:color w:val="auto"/>
          <w:sz w:val="32"/>
          <w:szCs w:val="32"/>
          <w:highlight w:val="none"/>
          <w:lang w:val="zh-CN" w:eastAsia="zh-CN"/>
        </w:rPr>
        <w:t>人，退休</w:t>
      </w:r>
      <w:r>
        <w:rPr>
          <w:rFonts w:ascii="Times New Roman" w:eastAsia="方正仿宋_GBK" w:hAnsi="Times New Roman" w:cs="方正仿宋_GBK" w:hint="eastAsia"/>
          <w:bCs/>
          <w:color w:val="auto"/>
          <w:sz w:val="32"/>
          <w:szCs w:val="32"/>
          <w:highlight w:val="none"/>
          <w:lang w:val="en-US" w:eastAsia="zh-CN"/>
        </w:rPr>
        <w:t>28</w:t>
      </w:r>
      <w:r>
        <w:rPr>
          <w:rFonts w:ascii="Times New Roman" w:eastAsia="方正仿宋_GBK" w:hAnsi="Times New Roman" w:cs="方正仿宋_GBK" w:hint="eastAsia"/>
          <w:bCs/>
          <w:color w:val="auto"/>
          <w:sz w:val="32"/>
          <w:szCs w:val="32"/>
          <w:highlight w:val="none"/>
          <w:lang w:val="zh-CN" w:eastAsia="zh-CN"/>
        </w:rPr>
        <w:t>人）。</w:t>
      </w:r>
      <w:r>
        <w:rPr>
          <w:rFonts w:ascii="Times New Roman" w:eastAsia="方正仿宋_GBK" w:hAnsi="Times New Roman" w:cs="方正仿宋_GBK" w:hint="eastAsia"/>
          <w:bCs/>
          <w:color w:val="auto"/>
          <w:sz w:val="32"/>
          <w:szCs w:val="32"/>
          <w:highlight w:val="none"/>
          <w:lang w:val="en-US" w:eastAsia="zh-CN"/>
        </w:rPr>
        <w:t>年末遗属2人。</w:t>
      </w:r>
    </w:p>
    <w:p w14:paraId="5675D6A1">
      <w:pPr>
        <w:pStyle w:val="BodyText"/>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仿宋_GB2312" w:eastAsia="仿宋_GB2312" w:hAnsi="宋体" w:cs="Arial" w:hint="eastAsia"/>
          <w:color w:val="FF0000"/>
          <w:kern w:val="0"/>
          <w:sz w:val="30"/>
          <w:szCs w:val="30"/>
          <w:highlight w:val="none"/>
        </w:rPr>
      </w:pPr>
      <w:r>
        <w:rPr>
          <w:rFonts w:ascii="Times New Roman" w:eastAsia="方正仿宋_GBK" w:hAnsi="Times New Roman" w:cs="方正仿宋_GBK" w:hint="eastAsia"/>
          <w:bCs/>
          <w:color w:val="auto"/>
          <w:sz w:val="32"/>
          <w:szCs w:val="32"/>
          <w:highlight w:val="none"/>
          <w:lang w:val="en-US" w:eastAsia="zh-CN"/>
        </w:rPr>
        <w:t>车辆编制2辆，在编实有车辆1辆，超编0辆。</w:t>
      </w:r>
    </w:p>
    <w:p w14:paraId="10DA16E6">
      <w:pPr>
        <w:keepNext w:val="0"/>
        <w:keepLines w:val="0"/>
        <w:pageBreakBefore w:val="0"/>
        <w:kinsoku/>
        <w:wordWrap/>
        <w:overflowPunct/>
        <w:topLinePunct w:val="0"/>
        <w:autoSpaceDE/>
        <w:autoSpaceDN/>
        <w:bidi w:val="0"/>
        <w:spacing w:line="590" w:lineRule="exact"/>
        <w:ind w:firstLine="640" w:firstLineChars="200"/>
        <w:textAlignment w:val="auto"/>
        <w:outlineLvl w:val="1"/>
        <w:rPr>
          <w:rFonts w:ascii="方正黑体_GBK" w:eastAsia="方正黑体_GBK" w:hAnsi="方正黑体_GBK" w:cs="方正黑体_GBK" w:hint="eastAsia"/>
          <w:sz w:val="32"/>
          <w:szCs w:val="32"/>
          <w:highlight w:val="none"/>
          <w:lang w:eastAsia="zh-CN"/>
        </w:rPr>
      </w:pPr>
      <w:r>
        <w:rPr>
          <w:rFonts w:ascii="方正黑体_GBK" w:eastAsia="方正黑体_GBK" w:hAnsi="方正黑体_GBK" w:cs="方正黑体_GBK" w:hint="eastAsia"/>
          <w:sz w:val="32"/>
          <w:szCs w:val="32"/>
          <w:highlight w:val="none"/>
          <w:lang w:eastAsia="zh-CN"/>
        </w:rPr>
        <w:t>三、重点工作概述</w:t>
      </w:r>
    </w:p>
    <w:p w14:paraId="12CE3549">
      <w:pPr>
        <w:keepNext w:val="0"/>
        <w:keepLines w:val="0"/>
        <w:pageBreakBefore w:val="0"/>
        <w:kinsoku/>
        <w:wordWrap/>
        <w:overflowPunct/>
        <w:topLinePunct w:val="0"/>
        <w:autoSpaceDE/>
        <w:autoSpaceDN/>
        <w:bidi w:val="0"/>
        <w:spacing w:line="590" w:lineRule="exact"/>
        <w:ind w:firstLine="640" w:firstLineChars="200"/>
        <w:textAlignment w:val="auto"/>
        <w:outlineLvl w:val="2"/>
        <w:rPr>
          <w:rFonts w:ascii="方正楷体_GBK" w:eastAsia="方正楷体_GBK" w:hAnsi="方正楷体_GBK" w:cs="方正楷体_GBK" w:hint="eastAsia"/>
          <w:sz w:val="32"/>
          <w:szCs w:val="32"/>
          <w:highlight w:val="none"/>
          <w:lang w:val="zh-CN" w:eastAsia="zh-CN"/>
        </w:rPr>
      </w:pPr>
      <w:r>
        <w:rPr>
          <w:rFonts w:ascii="方正楷体_GBK" w:eastAsia="方正楷体_GBK" w:hAnsi="方正楷体_GBK" w:cs="方正楷体_GBK" w:hint="eastAsia"/>
          <w:sz w:val="32"/>
          <w:szCs w:val="32"/>
          <w:highlight w:val="none"/>
          <w:lang w:val="zh-CN" w:eastAsia="zh-CN"/>
        </w:rPr>
        <w:t>（一）公共卫生均等化及妇幼健康服务质量</w:t>
      </w:r>
    </w:p>
    <w:p w14:paraId="1BE81E69">
      <w:pPr>
        <w:keepNext w:val="0"/>
        <w:keepLines w:val="0"/>
        <w:pageBreakBefore w:val="0"/>
        <w:kinsoku/>
        <w:wordWrap/>
        <w:overflowPunct/>
        <w:topLinePunct w:val="0"/>
        <w:autoSpaceDE/>
        <w:autoSpaceDN/>
        <w:bidi w:val="0"/>
        <w:spacing w:line="590" w:lineRule="exact"/>
        <w:ind w:firstLine="640" w:firstLineChars="200"/>
        <w:textAlignment w:val="auto"/>
        <w:rPr>
          <w:rFonts w:ascii="仿宋_GB2312" w:eastAsia="仿宋_GB2312" w:hAnsi="仿宋_GB2312" w:cs="仿宋_GB2312" w:hint="eastAsia"/>
          <w:b w:val="0"/>
          <w:bCs w:val="0"/>
          <w:sz w:val="30"/>
          <w:szCs w:val="30"/>
          <w:highlight w:val="none"/>
          <w:u w:val="none"/>
          <w:lang w:val="zh-CN" w:eastAsia="zh-CN"/>
        </w:rPr>
      </w:pPr>
      <w:r>
        <w:rPr>
          <w:rFonts w:ascii="Times New Roman" w:eastAsia="方正仿宋_GBK" w:hAnsi="Times New Roman" w:cs="方正仿宋_GBK" w:hint="eastAsia"/>
          <w:bCs/>
          <w:color w:val="auto"/>
          <w:kern w:val="2"/>
          <w:sz w:val="32"/>
          <w:szCs w:val="32"/>
          <w:highlight w:val="none"/>
          <w:lang w:val="zh-CN" w:eastAsia="zh-CN" w:bidi="ar-SA"/>
        </w:rPr>
        <w:t>居民健康档案管理工作</w:t>
      </w:r>
      <w:r>
        <w:rPr>
          <w:rFonts w:eastAsia="方正仿宋_GBK" w:cs="方正仿宋_GBK" w:hint="eastAsia"/>
          <w:bCs/>
          <w:color w:val="auto"/>
          <w:kern w:val="2"/>
          <w:sz w:val="32"/>
          <w:szCs w:val="32"/>
          <w:highlight w:val="none"/>
          <w:lang w:val="zh-CN"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对辖区内0</w:t>
      </w:r>
      <w:r>
        <w:rPr>
          <w:rFonts w:ascii="Times New Roman" w:eastAsia="方正仿宋_GBK" w:hAnsi="Times New Roman"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6岁儿童进行保健管理，0-36个月儿童进行系统管理，1岁以内婴儿每年健康检查4次，2-3岁幼儿每年健康检查2次，在6、12、24、36月龄时使用听性行为观察法分别进行1次听力筛查。对体弱儿、高危婴幼儿进行转诊或增加随访次数，3岁以上儿童每年进行1次保健管理。0</w:t>
      </w:r>
      <w:r>
        <w:rPr>
          <w:rFonts w:ascii="Times New Roman" w:eastAsia="方正仿宋_GBK" w:hAnsi="Times New Roman"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6岁儿童每年进行1次血常规（或）血红蛋白化验。按《国家公共卫生服务规范（第三版）》对辖区内0-6岁儿童开展新生儿访视，儿童系统管理，包括体弱儿筛查及专案管理工作提供服务情况。对所管辖区托幼机构儿童进行管理，制定对托幼机构人员培训和定期督导制度并完成托幼园所工作人员健康合格证的发放。</w:t>
      </w:r>
    </w:p>
    <w:p w14:paraId="3CF5E35C">
      <w:pPr>
        <w:keepNext w:val="0"/>
        <w:keepLines w:val="0"/>
        <w:pageBreakBefore w:val="0"/>
        <w:kinsoku/>
        <w:wordWrap/>
        <w:overflowPunct/>
        <w:topLinePunct w:val="0"/>
        <w:autoSpaceDE/>
        <w:autoSpaceDN/>
        <w:bidi w:val="0"/>
        <w:spacing w:line="590" w:lineRule="exact"/>
        <w:ind w:firstLine="640" w:firstLineChars="200"/>
        <w:textAlignment w:val="auto"/>
        <w:outlineLvl w:val="2"/>
        <w:rPr>
          <w:rFonts w:ascii="方正楷体_GBK" w:eastAsia="方正楷体_GBK" w:hAnsi="方正楷体_GBK" w:cs="方正楷体_GBK" w:hint="eastAsia"/>
          <w:sz w:val="32"/>
          <w:szCs w:val="32"/>
          <w:highlight w:val="none"/>
          <w:lang w:val="zh-CN" w:eastAsia="zh-CN"/>
        </w:rPr>
      </w:pPr>
      <w:r>
        <w:rPr>
          <w:rFonts w:ascii="方正楷体_GBK" w:eastAsia="方正楷体_GBK" w:hAnsi="方正楷体_GBK" w:cs="方正楷体_GBK" w:hint="eastAsia"/>
          <w:sz w:val="32"/>
          <w:szCs w:val="32"/>
          <w:highlight w:val="none"/>
          <w:lang w:val="zh-CN" w:eastAsia="zh-CN"/>
        </w:rPr>
        <w:t>（二）妇幼卫生监测及孕产妇和婴儿死亡控制</w:t>
      </w:r>
    </w:p>
    <w:p w14:paraId="38BA3134">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zh-CN" w:eastAsia="zh-CN" w:bidi="ar-SA"/>
        </w:rPr>
        <w:t>制定并完善本县(市、区)高危孕产妇风险筛查与评估、分级管理及转诊工作制度、方案，明确领导小组、专家技术组；县(市、区)级助产机构要开设高危孕产妇管理专科门诊并按照要求规范开展工作，建立孕产妇保健手册发放使用管理台账，规范填写孕产妇保健手册并进行质量控制。按方案要求及时或每半年召开有卫生健康局及县(市、区)级医院等成员单位参加的孕产妇死亡和儿童死亡评审（每县(市、区)评审辖区内医疗机构死亡的全部新生儿和监测乡镇的5岁以下死亡儿童）。控制孕产妇、婴儿死亡。成立辖区多学科领域专家组成的高危孕产妇风险预警评估和抢救领导组织，定期开展辖区高危孕产妇高危复评和相关工作。</w:t>
      </w:r>
    </w:p>
    <w:p w14:paraId="1D0C93EB">
      <w:pPr>
        <w:keepNext w:val="0"/>
        <w:keepLines w:val="0"/>
        <w:pageBreakBefore w:val="0"/>
        <w:kinsoku/>
        <w:wordWrap/>
        <w:overflowPunct/>
        <w:topLinePunct w:val="0"/>
        <w:autoSpaceDE/>
        <w:autoSpaceDN/>
        <w:bidi w:val="0"/>
        <w:spacing w:line="590" w:lineRule="exact"/>
        <w:ind w:firstLine="640" w:firstLineChars="200"/>
        <w:textAlignment w:val="auto"/>
        <w:outlineLvl w:val="2"/>
        <w:rPr>
          <w:rFonts w:ascii="方正楷体_GBK" w:eastAsia="方正楷体_GBK" w:hAnsi="方正楷体_GBK" w:cs="方正楷体_GBK" w:hint="eastAsia"/>
          <w:sz w:val="32"/>
          <w:szCs w:val="32"/>
          <w:highlight w:val="none"/>
          <w:lang w:val="zh-CN" w:eastAsia="zh-CN"/>
        </w:rPr>
      </w:pPr>
      <w:r>
        <w:rPr>
          <w:rFonts w:ascii="方正楷体_GBK" w:eastAsia="方正楷体_GBK" w:hAnsi="方正楷体_GBK" w:cs="方正楷体_GBK" w:hint="eastAsia"/>
          <w:sz w:val="32"/>
          <w:szCs w:val="32"/>
          <w:highlight w:val="none"/>
          <w:lang w:val="zh-CN" w:eastAsia="zh-CN"/>
        </w:rPr>
        <w:t>（三）消除艾滋病、梅毒和乙肝母婴传播工作</w:t>
      </w:r>
    </w:p>
    <w:p w14:paraId="55D68EB6">
      <w:pPr>
        <w:keepNext w:val="0"/>
        <w:keepLines w:val="0"/>
        <w:pageBreakBefore w:val="0"/>
        <w:kinsoku/>
        <w:wordWrap/>
        <w:overflowPunct/>
        <w:topLinePunct w:val="0"/>
        <w:autoSpaceDE/>
        <w:autoSpaceDN/>
        <w:bidi w:val="0"/>
        <w:spacing w:line="590" w:lineRule="exact"/>
        <w:ind w:firstLine="640" w:firstLineChars="200"/>
        <w:textAlignment w:val="auto"/>
        <w:rPr>
          <w:rFonts w:ascii="仿宋_GB2312" w:eastAsia="仿宋_GB2312" w:hAnsi="仿宋_GB2312" w:cs="仿宋_GB2312" w:hint="eastAsia"/>
          <w:b w:val="0"/>
          <w:bCs w:val="0"/>
          <w:sz w:val="30"/>
          <w:szCs w:val="30"/>
          <w:highlight w:val="none"/>
          <w:u w:val="none"/>
          <w:lang w:val="zh-CN" w:eastAsia="zh-CN"/>
        </w:rPr>
      </w:pPr>
      <w:r>
        <w:rPr>
          <w:rFonts w:ascii="Times New Roman" w:eastAsia="方正仿宋_GBK" w:hAnsi="Times New Roman" w:cs="方正仿宋_GBK" w:hint="eastAsia"/>
          <w:bCs/>
          <w:color w:val="auto"/>
          <w:kern w:val="2"/>
          <w:sz w:val="32"/>
          <w:szCs w:val="32"/>
          <w:highlight w:val="none"/>
          <w:lang w:val="zh-CN" w:eastAsia="zh-CN" w:bidi="ar-SA"/>
        </w:rPr>
        <w:t>对婚姻登记人群提供HIV/梅毒、孕产妇提供HIV/梅毒/乙肝咨询和检测；孕期检测覆盖达95.00%以上（其中孕早期检测达85.00%以上）；对感染艾滋病、梅毒和乙肝病毒的孕产妇实施母婴阻断，HIV阳性孕产妇及所生婴儿抗病毒药物服药达100.00%，HIV阳性产妇所生婴儿实行人工喂养达100.00%，HIV感染孕产妇所生儿童早期诊断和HIV抗体检测达100.00%，HIV母婴传播控制2.00%在以下；按照省市级消除“三病”母婴传播相关方案要求进行转介，转出地县（市、区）妇幼保健院负责艾滋病、梅毒和乙肝母婴阻断的专管人员与转入地妇幼保健院负责艾滋病、梅毒和乙肝母婴阻断的专管人员取得联系并填写转介卡（机构联）（见《方案》附件）传真至转入地妇幼保健院医务科，转介卡（病人联）交转介对象到转入地妇幼保健机构，继续接受相应服务。</w:t>
      </w:r>
    </w:p>
    <w:p w14:paraId="3E43A9C4">
      <w:pPr>
        <w:keepNext w:val="0"/>
        <w:keepLines w:val="0"/>
        <w:pageBreakBefore w:val="0"/>
        <w:kinsoku/>
        <w:wordWrap/>
        <w:overflowPunct/>
        <w:topLinePunct w:val="0"/>
        <w:autoSpaceDE/>
        <w:autoSpaceDN/>
        <w:bidi w:val="0"/>
        <w:spacing w:line="590" w:lineRule="exact"/>
        <w:ind w:firstLine="640" w:firstLineChars="200"/>
        <w:textAlignment w:val="auto"/>
        <w:outlineLvl w:val="2"/>
        <w:rPr>
          <w:rFonts w:ascii="方正楷体_GBK" w:eastAsia="方正楷体_GBK" w:hAnsi="方正楷体_GBK" w:cs="方正楷体_GBK" w:hint="eastAsia"/>
          <w:sz w:val="32"/>
          <w:szCs w:val="32"/>
          <w:highlight w:val="none"/>
          <w:lang w:val="zh-CN" w:eastAsia="zh-CN"/>
        </w:rPr>
      </w:pPr>
      <w:r>
        <w:rPr>
          <w:rFonts w:ascii="方正楷体_GBK" w:eastAsia="方正楷体_GBK" w:hAnsi="方正楷体_GBK" w:cs="方正楷体_GBK" w:hint="eastAsia"/>
          <w:sz w:val="32"/>
          <w:szCs w:val="32"/>
          <w:highlight w:val="none"/>
          <w:lang w:val="zh-CN" w:eastAsia="zh-CN"/>
        </w:rPr>
        <w:t>（四）计划生育服务及健康教育工作</w:t>
      </w:r>
    </w:p>
    <w:p w14:paraId="0733AA48">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1.</w:t>
      </w:r>
      <w:r>
        <w:rPr>
          <w:rFonts w:ascii="Times New Roman" w:eastAsia="方正仿宋_GBK" w:hAnsi="Times New Roman" w:cs="方正仿宋_GBK" w:hint="eastAsia"/>
          <w:bCs/>
          <w:color w:val="auto"/>
          <w:kern w:val="2"/>
          <w:sz w:val="32"/>
          <w:szCs w:val="32"/>
          <w:highlight w:val="none"/>
          <w:lang w:val="zh-CN" w:eastAsia="zh-CN" w:bidi="ar-SA"/>
        </w:rPr>
        <w:t>免费计划生育手术工作。避孕节育知情选择达95.00%以上；规范开展计划生育手术；按要求及时上报信息和统计报表。</w:t>
      </w:r>
    </w:p>
    <w:p w14:paraId="10A6BB50">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2.</w:t>
      </w:r>
      <w:r>
        <w:rPr>
          <w:rFonts w:ascii="Times New Roman" w:eastAsia="方正仿宋_GBK" w:hAnsi="Times New Roman" w:cs="方正仿宋_GBK" w:hint="eastAsia"/>
          <w:bCs/>
          <w:color w:val="auto"/>
          <w:kern w:val="2"/>
          <w:sz w:val="32"/>
          <w:szCs w:val="32"/>
          <w:highlight w:val="none"/>
          <w:lang w:val="zh-CN" w:eastAsia="zh-CN" w:bidi="ar-SA"/>
        </w:rPr>
        <w:t>孕前优生健康检查项目工作。完成目标任务，按照项目工作和有关要求，定期组织开展监督检查、质量控制和技术指导，及时了解组织管理、执行进度、资金使用、质量开展及信息管理等项目实施情况。</w:t>
      </w:r>
    </w:p>
    <w:p w14:paraId="5FEC0714">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3.</w:t>
      </w:r>
      <w:r>
        <w:rPr>
          <w:rFonts w:ascii="Times New Roman" w:eastAsia="方正仿宋_GBK" w:hAnsi="Times New Roman" w:cs="方正仿宋_GBK" w:hint="eastAsia"/>
          <w:bCs/>
          <w:color w:val="auto"/>
          <w:kern w:val="2"/>
          <w:sz w:val="32"/>
          <w:szCs w:val="32"/>
          <w:highlight w:val="none"/>
          <w:lang w:val="zh-CN" w:eastAsia="zh-CN" w:bidi="ar-SA"/>
        </w:rPr>
        <w:t>增补叶酸预防神经管缺陷项目工作。完成目标任务，定期组织开展监督检查、质量控制和技术指导。</w:t>
      </w:r>
    </w:p>
    <w:p w14:paraId="496627AF">
      <w:pPr>
        <w:keepNext w:val="0"/>
        <w:keepLines w:val="0"/>
        <w:pageBreakBefore w:val="0"/>
        <w:kinsoku/>
        <w:wordWrap/>
        <w:overflowPunct/>
        <w:topLinePunct w:val="0"/>
        <w:autoSpaceDE/>
        <w:autoSpaceDN/>
        <w:bidi w:val="0"/>
        <w:spacing w:line="590" w:lineRule="exact"/>
        <w:ind w:firstLine="640" w:firstLineChars="200"/>
        <w:textAlignment w:val="auto"/>
        <w:rPr>
          <w:rFonts w:ascii="仿宋_GB2312" w:eastAsia="仿宋_GB2312" w:hAnsi="仿宋_GB2312" w:cs="仿宋_GB2312" w:hint="eastAsia"/>
          <w:b w:val="0"/>
          <w:bCs w:val="0"/>
          <w:sz w:val="30"/>
          <w:szCs w:val="30"/>
          <w:highlight w:val="none"/>
          <w:u w:val="none"/>
          <w:lang w:val="en-US" w:eastAsia="zh-CN"/>
        </w:rPr>
      </w:pPr>
      <w:r>
        <w:rPr>
          <w:rFonts w:ascii="Times New Roman" w:eastAsia="方正仿宋_GBK" w:hAnsi="Times New Roman" w:cs="方正仿宋_GBK" w:hint="eastAsia"/>
          <w:bCs/>
          <w:color w:val="auto"/>
          <w:kern w:val="2"/>
          <w:sz w:val="32"/>
          <w:szCs w:val="32"/>
          <w:highlight w:val="none"/>
          <w:lang w:val="en-US" w:eastAsia="zh-CN" w:bidi="ar-SA"/>
        </w:rPr>
        <w:t>4.</w:t>
      </w:r>
      <w:r>
        <w:rPr>
          <w:rFonts w:ascii="Times New Roman" w:eastAsia="方正仿宋_GBK" w:hAnsi="Times New Roman" w:cs="方正仿宋_GBK" w:hint="eastAsia"/>
          <w:bCs/>
          <w:color w:val="auto"/>
          <w:kern w:val="2"/>
          <w:sz w:val="32"/>
          <w:szCs w:val="32"/>
          <w:highlight w:val="none"/>
          <w:lang w:val="zh-CN" w:eastAsia="zh-CN" w:bidi="ar-SA"/>
        </w:rPr>
        <w:t>加强药具服务网点和自助机管理，确保药具应用大于90.00%以上，随访达95.00%以上；群众知情大于95.00%以上。</w:t>
      </w:r>
    </w:p>
    <w:p w14:paraId="4EF966CB">
      <w:pPr>
        <w:keepNext w:val="0"/>
        <w:keepLines w:val="0"/>
        <w:pageBreakBefore w:val="0"/>
        <w:kinsoku/>
        <w:wordWrap/>
        <w:overflowPunct/>
        <w:topLinePunct w:val="0"/>
        <w:autoSpaceDE/>
        <w:autoSpaceDN/>
        <w:bidi w:val="0"/>
        <w:spacing w:line="590" w:lineRule="exact"/>
        <w:jc w:val="center"/>
        <w:textAlignment w:val="auto"/>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第二部分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年度部门决算表</w:t>
      </w:r>
    </w:p>
    <w:p w14:paraId="0607538E">
      <w:pPr>
        <w:keepNext w:val="0"/>
        <w:keepLines w:val="0"/>
        <w:pageBreakBefore w:val="0"/>
        <w:kinsoku/>
        <w:wordWrap/>
        <w:overflowPunct/>
        <w:topLinePunct w:val="0"/>
        <w:autoSpaceDE/>
        <w:autoSpaceDN/>
        <w:bidi w:val="0"/>
        <w:spacing w:line="590" w:lineRule="exact"/>
        <w:ind w:firstLine="640" w:firstLineChars="200"/>
        <w:jc w:val="center"/>
        <w:textAlignment w:val="auto"/>
        <w:outlineLvl w:val="1"/>
        <w:rPr>
          <w:rFonts w:ascii="方正仿宋_GBK" w:eastAsia="方正仿宋_GBK" w:hAnsi="方正仿宋_GBK" w:cs="方正仿宋_GBK" w:hint="eastAsia"/>
          <w:sz w:val="32"/>
          <w:szCs w:val="32"/>
          <w:highlight w:val="none"/>
        </w:rPr>
      </w:pPr>
      <w:r>
        <w:rPr>
          <w:rFonts w:ascii="方正仿宋_GBK" w:eastAsia="方正仿宋_GBK" w:hAnsi="方正仿宋_GBK" w:cs="方正仿宋_GBK" w:hint="eastAsia"/>
          <w:sz w:val="32"/>
          <w:szCs w:val="32"/>
          <w:highlight w:val="none"/>
        </w:rPr>
        <w:t>（详见附件）</w:t>
      </w:r>
    </w:p>
    <w:p w14:paraId="3C15D7DE">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en-US" w:eastAsia="zh-CN" w:bidi="ar-SA"/>
        </w:rPr>
      </w:pPr>
      <w:r>
        <w:rPr>
          <w:rFonts w:ascii="Times New Roman" w:eastAsia="方正仿宋_GBK" w:hAnsi="Times New Roman" w:cs="方正仿宋_GBK" w:hint="eastAsia"/>
          <w:bCs/>
          <w:color w:val="auto"/>
          <w:kern w:val="2"/>
          <w:sz w:val="32"/>
          <w:szCs w:val="32"/>
          <w:highlight w:val="none"/>
          <w:lang w:val="zh-CN" w:eastAsia="zh-CN" w:bidi="ar-SA"/>
        </w:rPr>
        <w:t>本单位</w:t>
      </w:r>
      <w:r>
        <w:rPr>
          <w:rFonts w:ascii="Times New Roman" w:eastAsia="方正仿宋_GBK" w:hAnsi="Times New Roman" w:cs="方正仿宋_GBK" w:hint="eastAsia"/>
          <w:bCs/>
          <w:color w:val="auto"/>
          <w:kern w:val="2"/>
          <w:sz w:val="32"/>
          <w:szCs w:val="32"/>
          <w:highlight w:val="none"/>
          <w:lang w:val="en-US" w:eastAsia="zh-CN" w:bidi="ar-SA"/>
        </w:rPr>
        <w:t>2024年度</w:t>
      </w:r>
      <w:r>
        <w:rPr>
          <w:rFonts w:ascii="Times New Roman" w:eastAsia="方正仿宋_GBK" w:hAnsi="Times New Roman" w:cs="方正仿宋_GBK" w:hint="eastAsia"/>
          <w:bCs/>
          <w:color w:val="auto"/>
          <w:kern w:val="2"/>
          <w:sz w:val="32"/>
          <w:szCs w:val="32"/>
          <w:highlight w:val="none"/>
          <w:lang w:val="zh-CN" w:eastAsia="zh-CN" w:bidi="ar-SA"/>
        </w:rPr>
        <w:t>无</w:t>
      </w:r>
      <w:r>
        <w:rPr>
          <w:rFonts w:ascii="Times New Roman" w:eastAsia="方正仿宋_GBK" w:hAnsi="Times New Roman" w:cs="方正仿宋_GBK" w:hint="eastAsia"/>
          <w:bCs/>
          <w:color w:val="auto"/>
          <w:kern w:val="2"/>
          <w:sz w:val="32"/>
          <w:szCs w:val="32"/>
          <w:highlight w:val="none"/>
          <w:lang w:val="en-US" w:eastAsia="zh-CN" w:bidi="ar-SA"/>
        </w:rPr>
        <w:t>政府性基金预算财政拨款收入，</w:t>
      </w:r>
      <w:r>
        <w:rPr>
          <w:rFonts w:ascii="Times New Roman" w:eastAsia="方正仿宋_GBK" w:hAnsi="Times New Roman" w:cs="方正仿宋_GBK" w:hint="eastAsia"/>
          <w:bCs/>
          <w:color w:val="auto"/>
          <w:kern w:val="2"/>
          <w:sz w:val="32"/>
          <w:szCs w:val="32"/>
          <w:highlight w:val="none"/>
          <w:lang w:val="zh-CN" w:eastAsia="zh-CN" w:bidi="ar-SA"/>
        </w:rPr>
        <w:t>《政府性基金预算财政拨款收入支出决算表》</w:t>
      </w:r>
      <w:r>
        <w:rPr>
          <w:rFonts w:ascii="Times New Roman" w:eastAsia="方正仿宋_GBK" w:hAnsi="Times New Roman" w:cs="方正仿宋_GBK" w:hint="eastAsia"/>
          <w:bCs/>
          <w:color w:val="auto"/>
          <w:kern w:val="2"/>
          <w:sz w:val="32"/>
          <w:szCs w:val="32"/>
          <w:highlight w:val="none"/>
          <w:lang w:val="en-US" w:eastAsia="zh-CN" w:bidi="ar-SA"/>
        </w:rPr>
        <w:t>为空表</w:t>
      </w:r>
      <w:bookmarkStart w:id="0" w:name="_GoBack"/>
      <w:bookmarkEnd w:id="0"/>
      <w:r>
        <w:rPr>
          <w:rFonts w:ascii="Times New Roman" w:eastAsia="方正仿宋_GBK" w:hAnsi="Times New Roman" w:cs="方正仿宋_GBK" w:hint="eastAsia"/>
          <w:bCs/>
          <w:color w:val="auto"/>
          <w:kern w:val="2"/>
          <w:sz w:val="32"/>
          <w:szCs w:val="32"/>
          <w:highlight w:val="none"/>
          <w:lang w:val="en-US" w:eastAsia="zh-CN" w:bidi="ar-SA"/>
        </w:rPr>
        <w:t>。</w:t>
      </w:r>
    </w:p>
    <w:p w14:paraId="7EEB0272">
      <w:pPr>
        <w:keepNext w:val="0"/>
        <w:keepLines w:val="0"/>
        <w:pageBreakBefore w:val="0"/>
        <w:kinsoku/>
        <w:wordWrap/>
        <w:overflowPunct/>
        <w:topLinePunct w:val="0"/>
        <w:autoSpaceDE/>
        <w:autoSpaceDN/>
        <w:bidi w:val="0"/>
        <w:spacing w:line="590" w:lineRule="exact"/>
        <w:ind w:firstLine="640" w:firstLineChars="200"/>
        <w:textAlignment w:val="auto"/>
        <w:rPr>
          <w:rFonts w:ascii="仿宋_GB2312" w:eastAsia="仿宋_GB2312" w:hint="eastAsia"/>
          <w:sz w:val="30"/>
          <w:szCs w:val="30"/>
          <w:highlight w:val="none"/>
          <w:lang w:eastAsia="zh-CN"/>
        </w:rPr>
      </w:pPr>
      <w:r>
        <w:rPr>
          <w:rFonts w:ascii="Times New Roman" w:eastAsia="方正仿宋_GBK" w:hAnsi="Times New Roman" w:cs="方正仿宋_GBK" w:hint="eastAsia"/>
          <w:bCs/>
          <w:color w:val="auto"/>
          <w:kern w:val="2"/>
          <w:sz w:val="32"/>
          <w:szCs w:val="32"/>
          <w:highlight w:val="none"/>
          <w:lang w:val="zh-CN" w:eastAsia="zh-CN" w:bidi="ar-SA"/>
        </w:rPr>
        <w:t>本单位</w:t>
      </w:r>
      <w:r>
        <w:rPr>
          <w:rFonts w:ascii="Times New Roman" w:eastAsia="方正仿宋_GBK" w:hAnsi="Times New Roman" w:cs="方正仿宋_GBK" w:hint="eastAsia"/>
          <w:bCs/>
          <w:color w:val="auto"/>
          <w:kern w:val="2"/>
          <w:sz w:val="32"/>
          <w:szCs w:val="32"/>
          <w:highlight w:val="none"/>
          <w:lang w:val="en-US" w:eastAsia="zh-CN" w:bidi="ar-SA"/>
        </w:rPr>
        <w:t>2024</w:t>
      </w:r>
      <w:r>
        <w:rPr>
          <w:rFonts w:ascii="Times New Roman" w:eastAsia="方正仿宋_GBK" w:hAnsi="Times New Roman" w:cs="方正仿宋_GBK" w:hint="eastAsia"/>
          <w:bCs/>
          <w:color w:val="auto"/>
          <w:kern w:val="2"/>
          <w:sz w:val="32"/>
          <w:szCs w:val="32"/>
          <w:highlight w:val="none"/>
          <w:lang w:val="zh-CN" w:eastAsia="zh-CN" w:bidi="ar-SA"/>
        </w:rPr>
        <w:t>年度无国有资本经营预算财政拨款收入，《国有资本经营预算财政拨款收入支出决算表》为空表。</w:t>
      </w:r>
    </w:p>
    <w:p w14:paraId="1C96A38B">
      <w:pPr>
        <w:keepNext w:val="0"/>
        <w:keepLines w:val="0"/>
        <w:pageBreakBefore w:val="0"/>
        <w:kinsoku/>
        <w:wordWrap/>
        <w:overflowPunct/>
        <w:topLinePunct w:val="0"/>
        <w:autoSpaceDE/>
        <w:autoSpaceDN/>
        <w:bidi w:val="0"/>
        <w:spacing w:line="590" w:lineRule="exact"/>
        <w:jc w:val="center"/>
        <w:textAlignment w:val="auto"/>
        <w:outlineLvl w:val="0"/>
        <w:rPr>
          <w:rFonts w:ascii="黑体" w:eastAsia="黑体" w:hAnsi="黑体" w:hint="eastAsia"/>
          <w:sz w:val="32"/>
          <w:szCs w:val="32"/>
          <w:highlight w:val="none"/>
        </w:rPr>
      </w:pPr>
      <w:r>
        <w:rPr>
          <w:rFonts w:ascii="黑体" w:eastAsia="黑体" w:hAnsi="黑体" w:hint="eastAsia"/>
          <w:sz w:val="32"/>
          <w:szCs w:val="32"/>
          <w:highlight w:val="none"/>
        </w:rPr>
        <w:t>第三部</w:t>
      </w:r>
      <w:r>
        <w:rPr>
          <w:rFonts w:ascii="黑体" w:eastAsia="黑体" w:hAnsi="黑体" w:hint="eastAsia"/>
          <w:sz w:val="32"/>
          <w:szCs w:val="32"/>
          <w:highlight w:val="none"/>
          <w:lang w:eastAsia="zh-CN"/>
        </w:rPr>
        <w:t>分</w:t>
      </w: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年度部门决算情况说明</w:t>
      </w:r>
    </w:p>
    <w:p w14:paraId="5E09E5E6">
      <w:pPr>
        <w:keepNext w:val="0"/>
        <w:keepLines w:val="0"/>
        <w:pageBreakBefore w:val="0"/>
        <w:kinsoku/>
        <w:wordWrap/>
        <w:overflowPunct/>
        <w:topLinePunct w:val="0"/>
        <w:autoSpaceDE/>
        <w:autoSpaceDN/>
        <w:bidi w:val="0"/>
        <w:spacing w:line="590" w:lineRule="exact"/>
        <w:ind w:firstLine="640" w:firstLineChars="200"/>
        <w:textAlignment w:val="auto"/>
        <w:outlineLvl w:val="1"/>
        <w:rPr>
          <w:rFonts w:ascii="方正黑体_GBK" w:eastAsia="方正黑体_GBK" w:hAnsi="方正黑体_GBK" w:cs="方正黑体_GBK" w:hint="eastAsia"/>
          <w:sz w:val="32"/>
          <w:szCs w:val="32"/>
          <w:highlight w:val="none"/>
          <w:lang w:eastAsia="zh-CN"/>
        </w:rPr>
      </w:pPr>
      <w:r>
        <w:rPr>
          <w:rFonts w:ascii="方正黑体_GBK" w:eastAsia="方正黑体_GBK" w:hAnsi="方正黑体_GBK" w:cs="方正黑体_GBK" w:hint="eastAsia"/>
          <w:sz w:val="32"/>
          <w:szCs w:val="32"/>
          <w:highlight w:val="none"/>
          <w:lang w:eastAsia="zh-CN"/>
        </w:rPr>
        <w:t>一、收入决算情况说明</w:t>
      </w:r>
    </w:p>
    <w:p w14:paraId="67F3BFA0">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zh-CN" w:eastAsia="zh-CN" w:bidi="ar-SA"/>
        </w:rPr>
        <w:t>峨山彝族自治县妇幼保健院</w:t>
      </w:r>
      <w:r>
        <w:rPr>
          <w:rFonts w:ascii="Times New Roman" w:eastAsia="方正仿宋_GBK" w:hAnsi="Times New Roman" w:cs="方正仿宋_GBK" w:hint="eastAsia"/>
          <w:bCs/>
          <w:color w:val="auto"/>
          <w:kern w:val="2"/>
          <w:sz w:val="32"/>
          <w:szCs w:val="32"/>
          <w:highlight w:val="none"/>
          <w:lang w:val="en-US" w:eastAsia="zh-CN" w:bidi="ar-SA"/>
        </w:rPr>
        <w:t>2024</w:t>
      </w:r>
      <w:r>
        <w:rPr>
          <w:rFonts w:ascii="Times New Roman" w:eastAsia="方正仿宋_GBK" w:hAnsi="Times New Roman" w:cs="方正仿宋_GBK" w:hint="eastAsia"/>
          <w:bCs/>
          <w:color w:val="auto"/>
          <w:kern w:val="2"/>
          <w:sz w:val="32"/>
          <w:szCs w:val="32"/>
          <w:highlight w:val="none"/>
          <w:lang w:val="zh-CN" w:eastAsia="zh-CN" w:bidi="ar-SA"/>
        </w:rPr>
        <w:t>年度收入合计13</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819</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259.22元。其中：财政拨款收入9</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212</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778.74元，占总收入的66.67%；上级补助收入0.00元，占总收入的0.00%；事业收入4</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603</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875.57元（含教育收费0.00元），占总收入的33.31%；经营收入0.00元，占总收入的0.00%；附属单位上缴收入0.00元，占总收入的0.00%；其他收入2</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604.91元，占总收入的0.02%。</w:t>
      </w:r>
    </w:p>
    <w:p w14:paraId="12DCD2DB">
      <w:pPr>
        <w:keepNext w:val="0"/>
        <w:keepLines w:val="0"/>
        <w:pageBreakBefore w:val="0"/>
        <w:kinsoku/>
        <w:wordWrap/>
        <w:overflowPunct/>
        <w:topLinePunct w:val="0"/>
        <w:autoSpaceDE/>
        <w:autoSpaceDN/>
        <w:bidi w:val="0"/>
        <w:spacing w:line="590" w:lineRule="exact"/>
        <w:ind w:firstLine="640" w:firstLineChars="200"/>
        <w:textAlignment w:val="auto"/>
        <w:rPr>
          <w:rFonts w:ascii="仿宋_GB2312" w:eastAsia="仿宋_GB2312" w:hAnsi="宋体" w:cs="Arial" w:hint="eastAsia"/>
          <w:color w:val="FF0000"/>
          <w:kern w:val="0"/>
          <w:sz w:val="30"/>
          <w:szCs w:val="30"/>
          <w:highlight w:val="none"/>
        </w:rPr>
      </w:pPr>
      <w:r>
        <w:rPr>
          <w:rFonts w:ascii="Times New Roman" w:eastAsia="方正仿宋_GBK" w:hAnsi="Times New Roman" w:cs="方正仿宋_GBK" w:hint="eastAsia"/>
          <w:bCs/>
          <w:color w:val="auto"/>
          <w:kern w:val="2"/>
          <w:sz w:val="32"/>
          <w:szCs w:val="32"/>
          <w:highlight w:val="none"/>
          <w:lang w:val="zh-CN" w:eastAsia="zh-CN" w:bidi="ar-SA"/>
        </w:rPr>
        <w:t>与上年相比，收入合计</w:t>
      </w:r>
      <w:r>
        <w:rPr>
          <w:rFonts w:ascii="Times New Roman" w:eastAsia="方正仿宋_GBK" w:hAnsi="Times New Roman" w:cs="方正仿宋_GBK" w:hint="eastAsia"/>
          <w:bCs/>
          <w:color w:val="auto"/>
          <w:kern w:val="2"/>
          <w:sz w:val="32"/>
          <w:szCs w:val="32"/>
          <w:highlight w:val="none"/>
          <w:lang w:val="en-US" w:eastAsia="zh-CN" w:bidi="ar-SA"/>
        </w:rPr>
        <w:t>减少</w:t>
      </w:r>
      <w:r>
        <w:rPr>
          <w:rFonts w:ascii="Times New Roman" w:eastAsia="方正仿宋_GBK" w:hAnsi="Times New Roman" w:cs="方正仿宋_GBK" w:hint="eastAsia"/>
          <w:bCs/>
          <w:color w:val="auto"/>
          <w:kern w:val="2"/>
          <w:sz w:val="32"/>
          <w:szCs w:val="32"/>
          <w:highlight w:val="none"/>
          <w:lang w:val="zh-CN" w:eastAsia="zh-CN" w:bidi="ar-SA"/>
        </w:rPr>
        <w:t>218</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294.05元，</w:t>
      </w:r>
      <w:r>
        <w:rPr>
          <w:rFonts w:ascii="Times New Roman" w:eastAsia="方正仿宋_GBK" w:hAnsi="Times New Roman" w:cs="方正仿宋_GBK" w:hint="eastAsia"/>
          <w:bCs/>
          <w:color w:val="auto"/>
          <w:kern w:val="2"/>
          <w:sz w:val="32"/>
          <w:szCs w:val="32"/>
          <w:highlight w:val="none"/>
          <w:lang w:val="en-US" w:eastAsia="zh-CN" w:bidi="ar-SA"/>
        </w:rPr>
        <w:t>下降</w:t>
      </w:r>
      <w:r>
        <w:rPr>
          <w:rFonts w:ascii="Times New Roman" w:eastAsia="方正仿宋_GBK" w:hAnsi="Times New Roman" w:cs="方正仿宋_GBK" w:hint="eastAsia"/>
          <w:bCs/>
          <w:color w:val="auto"/>
          <w:kern w:val="2"/>
          <w:sz w:val="32"/>
          <w:szCs w:val="32"/>
          <w:highlight w:val="none"/>
          <w:lang w:val="zh-CN" w:eastAsia="zh-CN" w:bidi="ar-SA"/>
        </w:rPr>
        <w:t>1.56%。其中：财政拨款收入增加106</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692.24元，增长1.17%，</w:t>
      </w:r>
      <w:r>
        <w:rPr>
          <w:rFonts w:ascii="Times New Roman" w:eastAsia="方正仿宋_GBK" w:hAnsi="Times New Roman" w:cs="方正仿宋_GBK" w:hint="eastAsia"/>
          <w:bCs/>
          <w:color w:val="auto"/>
          <w:kern w:val="2"/>
          <w:sz w:val="32"/>
          <w:szCs w:val="32"/>
          <w:highlight w:val="none"/>
          <w:lang w:val="en-US" w:eastAsia="zh-CN" w:bidi="ar-SA"/>
        </w:rPr>
        <w:t>主要原因是2024年基本公共卫生项目财政拨款收入增加</w:t>
      </w:r>
      <w:r>
        <w:rPr>
          <w:rFonts w:ascii="Times New Roman" w:eastAsia="方正仿宋_GBK" w:hAnsi="Times New Roman" w:cs="方正仿宋_GBK" w:hint="eastAsia"/>
          <w:bCs/>
          <w:color w:val="auto"/>
          <w:kern w:val="2"/>
          <w:sz w:val="32"/>
          <w:szCs w:val="32"/>
          <w:highlight w:val="none"/>
          <w:lang w:val="zh-CN" w:eastAsia="zh-CN" w:bidi="ar-SA"/>
        </w:rPr>
        <w:t>；无上级补助收入；事业收入</w:t>
      </w:r>
      <w:r>
        <w:rPr>
          <w:rFonts w:ascii="Times New Roman" w:eastAsia="方正仿宋_GBK" w:hAnsi="Times New Roman" w:cs="方正仿宋_GBK" w:hint="eastAsia"/>
          <w:bCs/>
          <w:color w:val="auto"/>
          <w:kern w:val="2"/>
          <w:sz w:val="32"/>
          <w:szCs w:val="32"/>
          <w:highlight w:val="none"/>
          <w:lang w:val="en-US" w:eastAsia="zh-CN" w:bidi="ar-SA"/>
        </w:rPr>
        <w:t>减少</w:t>
      </w:r>
      <w:r>
        <w:rPr>
          <w:rFonts w:ascii="Times New Roman" w:eastAsia="方正仿宋_GBK" w:hAnsi="Times New Roman" w:cs="方正仿宋_GBK" w:hint="eastAsia"/>
          <w:bCs/>
          <w:color w:val="auto"/>
          <w:kern w:val="2"/>
          <w:sz w:val="32"/>
          <w:szCs w:val="32"/>
          <w:highlight w:val="none"/>
          <w:lang w:val="zh-CN" w:eastAsia="zh-CN" w:bidi="ar-SA"/>
        </w:rPr>
        <w:t>326</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691.20元，</w:t>
      </w:r>
      <w:r>
        <w:rPr>
          <w:rFonts w:ascii="Times New Roman" w:eastAsia="方正仿宋_GBK" w:hAnsi="Times New Roman" w:cs="方正仿宋_GBK" w:hint="eastAsia"/>
          <w:bCs/>
          <w:color w:val="auto"/>
          <w:kern w:val="2"/>
          <w:sz w:val="32"/>
          <w:szCs w:val="32"/>
          <w:highlight w:val="none"/>
          <w:lang w:val="en-US" w:eastAsia="zh-CN" w:bidi="ar-SA"/>
        </w:rPr>
        <w:t>下降</w:t>
      </w:r>
      <w:r>
        <w:rPr>
          <w:rFonts w:ascii="Times New Roman" w:eastAsia="方正仿宋_GBK" w:hAnsi="Times New Roman" w:cs="方正仿宋_GBK" w:hint="eastAsia"/>
          <w:bCs/>
          <w:color w:val="auto"/>
          <w:kern w:val="2"/>
          <w:sz w:val="32"/>
          <w:szCs w:val="32"/>
          <w:highlight w:val="none"/>
          <w:lang w:val="zh-CN" w:eastAsia="zh-CN" w:bidi="ar-SA"/>
        </w:rPr>
        <w:t>6.63%，</w:t>
      </w:r>
      <w:r>
        <w:rPr>
          <w:rFonts w:ascii="Times New Roman" w:eastAsia="方正仿宋_GBK" w:hAnsi="Times New Roman" w:cs="方正仿宋_GBK" w:hint="eastAsia"/>
          <w:bCs/>
          <w:color w:val="auto"/>
          <w:kern w:val="2"/>
          <w:sz w:val="32"/>
          <w:szCs w:val="32"/>
          <w:highlight w:val="none"/>
          <w:lang w:val="en-US" w:eastAsia="zh-CN" w:bidi="ar-SA"/>
        </w:rPr>
        <w:t>主要原因是2024年病人比2023年减少，导致2024年业务收入比2023年减少</w:t>
      </w:r>
      <w:r>
        <w:rPr>
          <w:rFonts w:ascii="Times New Roman" w:eastAsia="方正仿宋_GBK" w:hAnsi="Times New Roman" w:cs="方正仿宋_GBK" w:hint="eastAsia"/>
          <w:bCs/>
          <w:color w:val="auto"/>
          <w:kern w:val="2"/>
          <w:sz w:val="32"/>
          <w:szCs w:val="32"/>
          <w:highlight w:val="none"/>
          <w:lang w:val="zh-CN" w:eastAsia="zh-CN" w:bidi="ar-SA"/>
        </w:rPr>
        <w:t>；无经营收入；无附属单位上缴收入；其他收入增加1</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704.91元，增长189.43%，</w:t>
      </w:r>
      <w:r>
        <w:rPr>
          <w:rFonts w:ascii="Times New Roman" w:eastAsia="方正仿宋_GBK" w:hAnsi="Times New Roman" w:cs="方正仿宋_GBK" w:hint="eastAsia"/>
          <w:bCs/>
          <w:color w:val="auto"/>
          <w:kern w:val="2"/>
          <w:sz w:val="32"/>
          <w:szCs w:val="32"/>
          <w:highlight w:val="none"/>
          <w:lang w:val="en-US" w:eastAsia="zh-CN" w:bidi="ar-SA"/>
        </w:rPr>
        <w:t>主要原因是2024年其他收入全部为利息收入，利息收入增加导致其他收入增加</w:t>
      </w:r>
      <w:r>
        <w:rPr>
          <w:rFonts w:ascii="Times New Roman" w:eastAsia="方正仿宋_GBK" w:hAnsi="Times New Roman" w:cs="方正仿宋_GBK" w:hint="eastAsia"/>
          <w:bCs/>
          <w:color w:val="auto"/>
          <w:kern w:val="2"/>
          <w:sz w:val="32"/>
          <w:szCs w:val="32"/>
          <w:highlight w:val="none"/>
          <w:lang w:val="zh-CN" w:eastAsia="zh-CN" w:bidi="ar-SA"/>
        </w:rPr>
        <w:t>。</w:t>
      </w:r>
    </w:p>
    <w:p w14:paraId="174FBE8A">
      <w:pPr>
        <w:keepNext w:val="0"/>
        <w:keepLines w:val="0"/>
        <w:pageBreakBefore w:val="0"/>
        <w:kinsoku/>
        <w:wordWrap/>
        <w:overflowPunct/>
        <w:topLinePunct w:val="0"/>
        <w:autoSpaceDE/>
        <w:autoSpaceDN/>
        <w:bidi w:val="0"/>
        <w:spacing w:line="590" w:lineRule="exact"/>
        <w:ind w:firstLine="640" w:firstLineChars="200"/>
        <w:textAlignment w:val="auto"/>
        <w:outlineLvl w:val="1"/>
        <w:rPr>
          <w:rFonts w:ascii="方正黑体_GBK" w:eastAsia="方正黑体_GBK" w:hAnsi="方正黑体_GBK" w:cs="方正黑体_GBK" w:hint="eastAsia"/>
          <w:sz w:val="32"/>
          <w:szCs w:val="32"/>
          <w:highlight w:val="none"/>
          <w:lang w:eastAsia="zh-CN"/>
        </w:rPr>
      </w:pPr>
      <w:r>
        <w:rPr>
          <w:rFonts w:ascii="方正黑体_GBK" w:eastAsia="方正黑体_GBK" w:hAnsi="方正黑体_GBK" w:cs="方正黑体_GBK" w:hint="eastAsia"/>
          <w:sz w:val="32"/>
          <w:szCs w:val="32"/>
          <w:highlight w:val="none"/>
          <w:lang w:eastAsia="zh-CN"/>
        </w:rPr>
        <w:t>二、支出决算情况说明</w:t>
      </w:r>
    </w:p>
    <w:p w14:paraId="50D0CC24">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zh-CN" w:eastAsia="zh-CN" w:bidi="ar-SA"/>
        </w:rPr>
        <w:t>峨山彝族自治县妇幼保健院</w:t>
      </w:r>
      <w:r>
        <w:rPr>
          <w:rFonts w:ascii="Times New Roman" w:eastAsia="方正仿宋_GBK" w:hAnsi="Times New Roman" w:cs="方正仿宋_GBK" w:hint="eastAsia"/>
          <w:bCs/>
          <w:color w:val="auto"/>
          <w:kern w:val="2"/>
          <w:sz w:val="32"/>
          <w:szCs w:val="32"/>
          <w:highlight w:val="none"/>
          <w:lang w:val="en-US" w:eastAsia="zh-CN" w:bidi="ar-SA"/>
        </w:rPr>
        <w:t>2024</w:t>
      </w:r>
      <w:r>
        <w:rPr>
          <w:rFonts w:ascii="Times New Roman" w:eastAsia="方正仿宋_GBK" w:hAnsi="Times New Roman" w:cs="方正仿宋_GBK" w:hint="eastAsia"/>
          <w:bCs/>
          <w:color w:val="auto"/>
          <w:kern w:val="2"/>
          <w:sz w:val="32"/>
          <w:szCs w:val="32"/>
          <w:highlight w:val="none"/>
          <w:lang w:val="zh-CN" w:eastAsia="zh-CN" w:bidi="ar-SA"/>
        </w:rPr>
        <w:t>年度支出合计13</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352</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320.03元。其中：基本支出12</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208</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019.65元，占总支出的91.43％；项目支出1</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144</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300.38元，占总支出的8.57％；上缴上级支出0.00元，占总支出的0.00％；经营支出0.00元，占总支出的0.00％；对附属单位补助支出0.00元，占总支出的0.00％。</w:t>
      </w:r>
    </w:p>
    <w:p w14:paraId="296788DE">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zh-CN" w:eastAsia="zh-CN" w:bidi="ar-SA"/>
        </w:rPr>
        <w:t>与上年相比，支出合计</w:t>
      </w:r>
      <w:r>
        <w:rPr>
          <w:rFonts w:ascii="Times New Roman" w:eastAsia="方正仿宋_GBK" w:hAnsi="Times New Roman" w:cs="方正仿宋_GBK" w:hint="eastAsia"/>
          <w:bCs/>
          <w:color w:val="auto"/>
          <w:kern w:val="2"/>
          <w:sz w:val="32"/>
          <w:szCs w:val="32"/>
          <w:highlight w:val="none"/>
          <w:lang w:val="en-US" w:eastAsia="zh-CN" w:bidi="ar-SA"/>
        </w:rPr>
        <w:t>减少</w:t>
      </w:r>
      <w:r>
        <w:rPr>
          <w:rFonts w:ascii="Times New Roman" w:eastAsia="方正仿宋_GBK" w:hAnsi="Times New Roman" w:cs="方正仿宋_GBK" w:hint="eastAsia"/>
          <w:bCs/>
          <w:color w:val="auto"/>
          <w:kern w:val="2"/>
          <w:sz w:val="32"/>
          <w:szCs w:val="32"/>
          <w:highlight w:val="none"/>
          <w:lang w:val="zh-CN" w:eastAsia="zh-CN" w:bidi="ar-SA"/>
        </w:rPr>
        <w:t>301</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486.53元，</w:t>
      </w:r>
      <w:r>
        <w:rPr>
          <w:rFonts w:ascii="Times New Roman" w:eastAsia="方正仿宋_GBK" w:hAnsi="Times New Roman" w:cs="方正仿宋_GBK" w:hint="eastAsia"/>
          <w:bCs/>
          <w:color w:val="auto"/>
          <w:kern w:val="2"/>
          <w:sz w:val="32"/>
          <w:szCs w:val="32"/>
          <w:highlight w:val="none"/>
          <w:lang w:val="en-US" w:eastAsia="zh-CN" w:bidi="ar-SA"/>
        </w:rPr>
        <w:t>下降</w:t>
      </w:r>
      <w:r>
        <w:rPr>
          <w:rFonts w:ascii="Times New Roman" w:eastAsia="方正仿宋_GBK" w:hAnsi="Times New Roman" w:cs="方正仿宋_GBK" w:hint="eastAsia"/>
          <w:bCs/>
          <w:color w:val="auto"/>
          <w:kern w:val="2"/>
          <w:sz w:val="32"/>
          <w:szCs w:val="32"/>
          <w:highlight w:val="none"/>
          <w:lang w:val="zh-CN" w:eastAsia="zh-CN" w:bidi="ar-SA"/>
        </w:rPr>
        <w:t>2.21%。其中：基本支出</w:t>
      </w:r>
      <w:r>
        <w:rPr>
          <w:rFonts w:ascii="Times New Roman" w:eastAsia="方正仿宋_GBK" w:hAnsi="Times New Roman" w:cs="方正仿宋_GBK" w:hint="eastAsia"/>
          <w:bCs/>
          <w:color w:val="auto"/>
          <w:kern w:val="2"/>
          <w:sz w:val="32"/>
          <w:szCs w:val="32"/>
          <w:highlight w:val="none"/>
          <w:lang w:val="en-US" w:eastAsia="zh-CN" w:bidi="ar-SA"/>
        </w:rPr>
        <w:t>减少</w:t>
      </w:r>
      <w:r>
        <w:rPr>
          <w:rFonts w:ascii="Times New Roman" w:eastAsia="方正仿宋_GBK" w:hAnsi="Times New Roman" w:cs="方正仿宋_GBK" w:hint="eastAsia"/>
          <w:bCs/>
          <w:color w:val="auto"/>
          <w:kern w:val="2"/>
          <w:sz w:val="32"/>
          <w:szCs w:val="32"/>
          <w:highlight w:val="none"/>
          <w:lang w:val="zh-CN" w:eastAsia="zh-CN" w:bidi="ar-SA"/>
        </w:rPr>
        <w:t>220</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731.76元，</w:t>
      </w:r>
      <w:r>
        <w:rPr>
          <w:rFonts w:ascii="Times New Roman" w:eastAsia="方正仿宋_GBK" w:hAnsi="Times New Roman" w:cs="方正仿宋_GBK" w:hint="eastAsia"/>
          <w:bCs/>
          <w:color w:val="auto"/>
          <w:kern w:val="2"/>
          <w:sz w:val="32"/>
          <w:szCs w:val="32"/>
          <w:highlight w:val="none"/>
          <w:lang w:val="en-US" w:eastAsia="zh-CN" w:bidi="ar-SA"/>
        </w:rPr>
        <w:t>下降</w:t>
      </w:r>
      <w:r>
        <w:rPr>
          <w:rFonts w:ascii="Times New Roman" w:eastAsia="方正仿宋_GBK" w:hAnsi="Times New Roman" w:cs="方正仿宋_GBK" w:hint="eastAsia"/>
          <w:bCs/>
          <w:color w:val="auto"/>
          <w:kern w:val="2"/>
          <w:sz w:val="32"/>
          <w:szCs w:val="32"/>
          <w:highlight w:val="none"/>
          <w:lang w:val="zh-CN" w:eastAsia="zh-CN" w:bidi="ar-SA"/>
        </w:rPr>
        <w:t>1.78%，主要原因是202</w:t>
      </w:r>
      <w:r>
        <w:rPr>
          <w:rFonts w:ascii="Times New Roman" w:eastAsia="方正仿宋_GBK" w:hAnsi="Times New Roman" w:cs="方正仿宋_GBK" w:hint="eastAsia"/>
          <w:bCs/>
          <w:color w:val="auto"/>
          <w:kern w:val="2"/>
          <w:sz w:val="32"/>
          <w:szCs w:val="32"/>
          <w:highlight w:val="none"/>
          <w:lang w:val="en-US" w:eastAsia="zh-CN" w:bidi="ar-SA"/>
        </w:rPr>
        <w:t>4</w:t>
      </w:r>
      <w:r>
        <w:rPr>
          <w:rFonts w:ascii="Times New Roman" w:eastAsia="方正仿宋_GBK" w:hAnsi="Times New Roman" w:cs="方正仿宋_GBK" w:hint="eastAsia"/>
          <w:bCs/>
          <w:color w:val="auto"/>
          <w:kern w:val="2"/>
          <w:sz w:val="32"/>
          <w:szCs w:val="32"/>
          <w:highlight w:val="none"/>
          <w:lang w:val="zh-CN" w:eastAsia="zh-CN" w:bidi="ar-SA"/>
        </w:rPr>
        <w:t>年退休人员生活补助没有发放、住房公积金单位部分只发放到</w:t>
      </w:r>
      <w:r>
        <w:rPr>
          <w:rFonts w:ascii="Times New Roman" w:eastAsia="方正仿宋_GBK" w:hAnsi="Times New Roman" w:cs="方正仿宋_GBK" w:hint="eastAsia"/>
          <w:bCs/>
          <w:color w:val="auto"/>
          <w:kern w:val="2"/>
          <w:sz w:val="32"/>
          <w:szCs w:val="32"/>
          <w:highlight w:val="none"/>
          <w:lang w:val="en-US" w:eastAsia="zh-CN" w:bidi="ar-SA"/>
        </w:rPr>
        <w:t>1月</w:t>
      </w:r>
      <w:r>
        <w:rPr>
          <w:rFonts w:ascii="Times New Roman" w:eastAsia="方正仿宋_GBK" w:hAnsi="Times New Roman" w:cs="方正仿宋_GBK" w:hint="eastAsia"/>
          <w:bCs/>
          <w:color w:val="auto"/>
          <w:kern w:val="2"/>
          <w:sz w:val="32"/>
          <w:szCs w:val="32"/>
          <w:highlight w:val="none"/>
          <w:lang w:val="zh-CN" w:eastAsia="zh-CN" w:bidi="ar-SA"/>
        </w:rPr>
        <w:t>；项目支出</w:t>
      </w:r>
      <w:r>
        <w:rPr>
          <w:rFonts w:ascii="Times New Roman" w:eastAsia="方正仿宋_GBK" w:hAnsi="Times New Roman" w:cs="方正仿宋_GBK" w:hint="eastAsia"/>
          <w:bCs/>
          <w:color w:val="auto"/>
          <w:kern w:val="2"/>
          <w:sz w:val="32"/>
          <w:szCs w:val="32"/>
          <w:highlight w:val="none"/>
          <w:lang w:val="en-US" w:eastAsia="zh-CN" w:bidi="ar-SA"/>
        </w:rPr>
        <w:t>减少</w:t>
      </w:r>
      <w:r>
        <w:rPr>
          <w:rFonts w:ascii="Times New Roman" w:eastAsia="方正仿宋_GBK" w:hAnsi="Times New Roman" w:cs="方正仿宋_GBK" w:hint="eastAsia"/>
          <w:bCs/>
          <w:color w:val="auto"/>
          <w:kern w:val="2"/>
          <w:sz w:val="32"/>
          <w:szCs w:val="32"/>
          <w:highlight w:val="none"/>
          <w:lang w:val="zh-CN" w:eastAsia="zh-CN" w:bidi="ar-SA"/>
        </w:rPr>
        <w:t>80</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754.77元，</w:t>
      </w:r>
      <w:r>
        <w:rPr>
          <w:rFonts w:ascii="Times New Roman" w:eastAsia="方正仿宋_GBK" w:hAnsi="Times New Roman" w:cs="方正仿宋_GBK" w:hint="eastAsia"/>
          <w:bCs/>
          <w:color w:val="auto"/>
          <w:kern w:val="2"/>
          <w:sz w:val="32"/>
          <w:szCs w:val="32"/>
          <w:highlight w:val="none"/>
          <w:lang w:val="en-US" w:eastAsia="zh-CN" w:bidi="ar-SA"/>
        </w:rPr>
        <w:t>下降</w:t>
      </w:r>
      <w:r>
        <w:rPr>
          <w:rFonts w:ascii="Times New Roman" w:eastAsia="方正仿宋_GBK" w:hAnsi="Times New Roman" w:cs="方正仿宋_GBK" w:hint="eastAsia"/>
          <w:bCs/>
          <w:color w:val="auto"/>
          <w:kern w:val="2"/>
          <w:sz w:val="32"/>
          <w:szCs w:val="32"/>
          <w:highlight w:val="none"/>
          <w:lang w:val="zh-CN" w:eastAsia="zh-CN" w:bidi="ar-SA"/>
        </w:rPr>
        <w:t>6.59%，主要原因是</w:t>
      </w:r>
      <w:r>
        <w:rPr>
          <w:rFonts w:ascii="Times New Roman" w:eastAsia="方正仿宋_GBK" w:hAnsi="Times New Roman" w:cs="方正仿宋_GBK" w:hint="eastAsia"/>
          <w:bCs/>
          <w:color w:val="auto"/>
          <w:kern w:val="2"/>
          <w:sz w:val="32"/>
          <w:szCs w:val="32"/>
          <w:highlight w:val="none"/>
          <w:lang w:val="en-US" w:eastAsia="zh-CN" w:bidi="ar-SA"/>
        </w:rPr>
        <w:t>重大公卫、妇幼健康、突发事件等项目经费减少，以及遗属补助只发放到8月</w:t>
      </w:r>
      <w:r>
        <w:rPr>
          <w:rFonts w:ascii="Times New Roman" w:eastAsia="方正仿宋_GBK" w:hAnsi="Times New Roman" w:cs="方正仿宋_GBK" w:hint="eastAsia"/>
          <w:bCs/>
          <w:color w:val="auto"/>
          <w:kern w:val="2"/>
          <w:sz w:val="32"/>
          <w:szCs w:val="32"/>
          <w:highlight w:val="none"/>
          <w:lang w:val="zh-CN" w:eastAsia="zh-CN" w:bidi="ar-SA"/>
        </w:rPr>
        <w:t>；无上缴上级支出；无经营支出；无对附属单位补助支出。</w:t>
      </w:r>
    </w:p>
    <w:p w14:paraId="24666B0D">
      <w:pPr>
        <w:keepNext w:val="0"/>
        <w:keepLines w:val="0"/>
        <w:pageBreakBefore w:val="0"/>
        <w:kinsoku/>
        <w:wordWrap/>
        <w:overflowPunct/>
        <w:topLinePunct w:val="0"/>
        <w:autoSpaceDE/>
        <w:autoSpaceDN/>
        <w:bidi w:val="0"/>
        <w:spacing w:line="590" w:lineRule="exact"/>
        <w:ind w:firstLine="640" w:firstLineChars="200"/>
        <w:textAlignment w:val="auto"/>
        <w:outlineLvl w:val="2"/>
        <w:rPr>
          <w:rFonts w:ascii="方正楷体_GBK" w:eastAsia="方正楷体_GBK" w:hAnsi="方正楷体_GBK" w:cs="方正楷体_GBK" w:hint="eastAsia"/>
          <w:sz w:val="32"/>
          <w:szCs w:val="32"/>
          <w:highlight w:val="none"/>
          <w:lang w:val="zh-CN" w:eastAsia="zh-CN"/>
        </w:rPr>
      </w:pPr>
      <w:r>
        <w:rPr>
          <w:rFonts w:ascii="方正楷体_GBK" w:eastAsia="方正楷体_GBK" w:hAnsi="方正楷体_GBK" w:cs="方正楷体_GBK" w:hint="eastAsia"/>
          <w:sz w:val="32"/>
          <w:szCs w:val="32"/>
          <w:highlight w:val="none"/>
          <w:lang w:val="zh-CN" w:eastAsia="zh-CN"/>
        </w:rPr>
        <w:t>（一）基本支出情况</w:t>
      </w:r>
    </w:p>
    <w:p w14:paraId="65163730">
      <w:pPr>
        <w:keepNext w:val="0"/>
        <w:keepLines w:val="0"/>
        <w:pageBreakBefore w:val="0"/>
        <w:kinsoku/>
        <w:wordWrap/>
        <w:overflowPunct/>
        <w:topLinePunct w:val="0"/>
        <w:autoSpaceDE/>
        <w:autoSpaceDN/>
        <w:bidi w:val="0"/>
        <w:spacing w:line="590" w:lineRule="exact"/>
        <w:ind w:firstLine="640" w:firstLineChars="200"/>
        <w:textAlignment w:val="auto"/>
        <w:rPr>
          <w:rFonts w:ascii="仿宋_GB2312" w:eastAsia="仿宋_GB2312" w:hAnsi="仿宋_GB2312" w:cs="仿宋_GB2312" w:hint="eastAsia"/>
          <w:color w:val="FF0000"/>
          <w:sz w:val="30"/>
          <w:szCs w:val="30"/>
          <w:highlight w:val="none"/>
        </w:rPr>
      </w:pPr>
      <w:r>
        <w:rPr>
          <w:rFonts w:ascii="Times New Roman" w:eastAsia="方正仿宋_GBK" w:hAnsi="Times New Roman" w:cs="方正仿宋_GBK" w:hint="eastAsia"/>
          <w:bCs/>
          <w:color w:val="auto"/>
          <w:kern w:val="2"/>
          <w:sz w:val="32"/>
          <w:szCs w:val="32"/>
          <w:highlight w:val="none"/>
          <w:lang w:val="en-US" w:eastAsia="zh-CN" w:bidi="ar-SA"/>
        </w:rPr>
        <w:t>2024</w:t>
      </w:r>
      <w:r>
        <w:rPr>
          <w:rFonts w:ascii="Times New Roman" w:eastAsia="方正仿宋_GBK" w:hAnsi="Times New Roman" w:cs="方正仿宋_GBK" w:hint="eastAsia"/>
          <w:bCs/>
          <w:color w:val="auto"/>
          <w:kern w:val="2"/>
          <w:sz w:val="32"/>
          <w:szCs w:val="32"/>
          <w:highlight w:val="none"/>
          <w:lang w:val="zh-CN" w:eastAsia="zh-CN" w:bidi="ar-SA"/>
        </w:rPr>
        <w:t>年度用于保障峨山彝族自治县妇幼保健院机构正常运转的日常支出12</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208</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019.65元。其中：基本工资、津贴补贴等人员经费支出8</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282</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258.36元，占基本支出的67.84％；办公费、印刷费、水电费、办公设备购置等公用经费3</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925</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761.29元，占基本支出的32.16％。</w:t>
      </w:r>
    </w:p>
    <w:p w14:paraId="3A26AD81">
      <w:pPr>
        <w:keepNext w:val="0"/>
        <w:keepLines w:val="0"/>
        <w:pageBreakBefore w:val="0"/>
        <w:kinsoku/>
        <w:wordWrap/>
        <w:overflowPunct/>
        <w:topLinePunct w:val="0"/>
        <w:autoSpaceDE/>
        <w:autoSpaceDN/>
        <w:bidi w:val="0"/>
        <w:spacing w:line="590" w:lineRule="exact"/>
        <w:ind w:firstLine="640" w:firstLineChars="200"/>
        <w:textAlignment w:val="auto"/>
        <w:outlineLvl w:val="2"/>
        <w:rPr>
          <w:rFonts w:ascii="方正楷体_GBK" w:eastAsia="方正楷体_GBK" w:hAnsi="方正楷体_GBK" w:cs="方正楷体_GBK" w:hint="eastAsia"/>
          <w:sz w:val="32"/>
          <w:szCs w:val="32"/>
          <w:highlight w:val="none"/>
          <w:lang w:val="zh-CN" w:eastAsia="zh-CN"/>
        </w:rPr>
      </w:pPr>
      <w:r>
        <w:rPr>
          <w:rFonts w:ascii="方正楷体_GBK" w:eastAsia="方正楷体_GBK" w:hAnsi="方正楷体_GBK" w:cs="方正楷体_GBK" w:hint="eastAsia"/>
          <w:sz w:val="32"/>
          <w:szCs w:val="32"/>
          <w:highlight w:val="none"/>
          <w:lang w:val="zh-CN" w:eastAsia="zh-CN"/>
        </w:rPr>
        <w:t>（二）项目支出情况</w:t>
      </w:r>
    </w:p>
    <w:p w14:paraId="0AA2DDE7">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en-US" w:eastAsia="zh-CN" w:bidi="ar-SA"/>
        </w:rPr>
      </w:pPr>
      <w:r>
        <w:rPr>
          <w:rFonts w:ascii="Times New Roman" w:eastAsia="方正仿宋_GBK" w:hAnsi="Times New Roman" w:cs="方正仿宋_GBK" w:hint="eastAsia"/>
          <w:bCs/>
          <w:color w:val="auto"/>
          <w:kern w:val="2"/>
          <w:sz w:val="32"/>
          <w:szCs w:val="32"/>
          <w:highlight w:val="none"/>
          <w:lang w:val="en-US" w:eastAsia="zh-CN" w:bidi="ar-SA"/>
        </w:rPr>
        <w:t>2024年度用于保障</w:t>
      </w:r>
      <w:r>
        <w:rPr>
          <w:rFonts w:ascii="Times New Roman" w:eastAsia="方正仿宋_GBK" w:hAnsi="Times New Roman" w:cs="方正仿宋_GBK" w:hint="eastAsia"/>
          <w:bCs/>
          <w:color w:val="auto"/>
          <w:kern w:val="2"/>
          <w:sz w:val="32"/>
          <w:szCs w:val="32"/>
          <w:highlight w:val="none"/>
          <w:lang w:val="zh-CN" w:eastAsia="zh-CN" w:bidi="ar-SA"/>
        </w:rPr>
        <w:t>峨山彝族自治县妇幼保健院</w:t>
      </w:r>
      <w:r>
        <w:rPr>
          <w:rFonts w:ascii="Times New Roman" w:eastAsia="方正仿宋_GBK" w:hAnsi="Times New Roman" w:cs="方正仿宋_GBK" w:hint="eastAsia"/>
          <w:bCs/>
          <w:color w:val="auto"/>
          <w:kern w:val="2"/>
          <w:sz w:val="32"/>
          <w:szCs w:val="32"/>
          <w:highlight w:val="none"/>
          <w:lang w:val="en-US" w:eastAsia="zh-CN" w:bidi="ar-SA"/>
        </w:rPr>
        <w:t>为完成特定的行政工作任务或事业发展目标，用于专项业务工作的经费支出</w:t>
      </w:r>
      <w:r>
        <w:rPr>
          <w:rFonts w:ascii="Times New Roman" w:eastAsia="方正仿宋_GBK" w:hAnsi="Times New Roman" w:cs="方正仿宋_GBK" w:hint="eastAsia"/>
          <w:bCs/>
          <w:color w:val="auto"/>
          <w:kern w:val="2"/>
          <w:sz w:val="32"/>
          <w:szCs w:val="32"/>
          <w:highlight w:val="none"/>
          <w:lang w:val="zh-CN" w:eastAsia="zh-CN" w:bidi="ar-SA"/>
        </w:rPr>
        <w:t>1</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144</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300.38</w:t>
      </w:r>
      <w:r>
        <w:rPr>
          <w:rFonts w:ascii="Times New Roman" w:eastAsia="方正仿宋_GBK" w:hAnsi="Times New Roman" w:cs="方正仿宋_GBK" w:hint="eastAsia"/>
          <w:bCs/>
          <w:color w:val="auto"/>
          <w:kern w:val="2"/>
          <w:sz w:val="32"/>
          <w:szCs w:val="32"/>
          <w:highlight w:val="none"/>
          <w:lang w:val="en-US" w:eastAsia="zh-CN" w:bidi="ar-SA"/>
        </w:rPr>
        <w:t>元。其中：基本建设类项目支出</w:t>
      </w:r>
      <w:r>
        <w:rPr>
          <w:rFonts w:ascii="Times New Roman" w:eastAsia="方正仿宋_GBK" w:hAnsi="Times New Roman" w:cs="方正仿宋_GBK" w:hint="eastAsia"/>
          <w:bCs/>
          <w:color w:val="auto"/>
          <w:kern w:val="2"/>
          <w:sz w:val="32"/>
          <w:szCs w:val="32"/>
          <w:highlight w:val="none"/>
          <w:lang w:val="zh-CN" w:eastAsia="zh-CN" w:bidi="ar-SA"/>
        </w:rPr>
        <w:t>0.00</w:t>
      </w:r>
      <w:r>
        <w:rPr>
          <w:rFonts w:ascii="Times New Roman" w:eastAsia="方正仿宋_GBK" w:hAnsi="Times New Roman" w:cs="方正仿宋_GBK" w:hint="eastAsia"/>
          <w:bCs/>
          <w:color w:val="auto"/>
          <w:kern w:val="2"/>
          <w:sz w:val="32"/>
          <w:szCs w:val="32"/>
          <w:highlight w:val="none"/>
          <w:lang w:val="en-US" w:eastAsia="zh-CN" w:bidi="ar-SA"/>
        </w:rPr>
        <w:t>元。</w:t>
      </w:r>
    </w:p>
    <w:p w14:paraId="165DB096">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en-US" w:eastAsia="zh-CN" w:bidi="ar-SA"/>
        </w:rPr>
      </w:pPr>
      <w:r>
        <w:rPr>
          <w:rFonts w:ascii="Times New Roman" w:eastAsia="方正仿宋_GBK" w:hAnsi="Times New Roman" w:cs="方正仿宋_GBK" w:hint="eastAsia"/>
          <w:bCs/>
          <w:color w:val="auto"/>
          <w:kern w:val="2"/>
          <w:sz w:val="32"/>
          <w:szCs w:val="32"/>
          <w:highlight w:val="none"/>
          <w:lang w:val="en-US" w:eastAsia="zh-CN" w:bidi="ar-SA"/>
        </w:rPr>
        <w:t>非基本建设类项目经费227,280.00元（自有资金支付），主要用于支付迁建项目的弱电智能化工程款和审计费。</w:t>
      </w:r>
    </w:p>
    <w:p w14:paraId="112F74B0">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en-US" w:eastAsia="zh-CN" w:bidi="ar-SA"/>
        </w:rPr>
      </w:pPr>
      <w:r>
        <w:rPr>
          <w:rFonts w:ascii="Times New Roman" w:eastAsia="方正仿宋_GBK" w:hAnsi="Times New Roman" w:cs="方正仿宋_GBK" w:hint="eastAsia"/>
          <w:bCs/>
          <w:color w:val="auto"/>
          <w:kern w:val="2"/>
          <w:sz w:val="32"/>
          <w:szCs w:val="32"/>
          <w:highlight w:val="none"/>
          <w:lang w:val="en-US" w:eastAsia="zh-CN" w:bidi="ar-SA"/>
        </w:rPr>
        <w:t>基本公共卫生服务项目经费876,400.38元，主要用于支付承担基本公共卫生工作的编外人员劳务费、公务用车运行维护费等。</w:t>
      </w:r>
    </w:p>
    <w:p w14:paraId="6CE3DB32">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en-US" w:eastAsia="zh-CN" w:bidi="ar-SA"/>
        </w:rPr>
      </w:pPr>
      <w:r>
        <w:rPr>
          <w:rFonts w:ascii="Times New Roman" w:eastAsia="方正仿宋_GBK" w:hAnsi="Times New Roman" w:cs="方正仿宋_GBK" w:hint="eastAsia"/>
          <w:bCs/>
          <w:color w:val="auto"/>
          <w:kern w:val="2"/>
          <w:sz w:val="32"/>
          <w:szCs w:val="32"/>
          <w:highlight w:val="none"/>
          <w:lang w:val="en-US" w:eastAsia="zh-CN" w:bidi="ar-SA"/>
        </w:rPr>
        <w:t>死亡抚恤项目经费10,620.00元，主要用于死亡职工家属的生活补助。</w:t>
      </w:r>
    </w:p>
    <w:p w14:paraId="329D05A4">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en-US" w:eastAsia="zh-CN" w:bidi="ar-SA"/>
        </w:rPr>
      </w:pPr>
      <w:r>
        <w:rPr>
          <w:rFonts w:ascii="Times New Roman" w:eastAsia="方正仿宋_GBK" w:hAnsi="Times New Roman" w:cs="方正仿宋_GBK" w:hint="eastAsia"/>
          <w:bCs/>
          <w:color w:val="auto"/>
          <w:kern w:val="2"/>
          <w:sz w:val="32"/>
          <w:szCs w:val="32"/>
          <w:highlight w:val="none"/>
          <w:lang w:val="en-US" w:eastAsia="zh-CN" w:bidi="ar-SA"/>
        </w:rPr>
        <w:t>社会事业发展规划项目经费30,000.00元，主要用于支付清廉医院创建工作的印刷费。</w:t>
      </w:r>
    </w:p>
    <w:p w14:paraId="407E3A66">
      <w:pPr>
        <w:keepNext w:val="0"/>
        <w:keepLines w:val="0"/>
        <w:pageBreakBefore w:val="0"/>
        <w:kinsoku/>
        <w:wordWrap/>
        <w:overflowPunct/>
        <w:topLinePunct w:val="0"/>
        <w:autoSpaceDE/>
        <w:autoSpaceDN/>
        <w:bidi w:val="0"/>
        <w:spacing w:line="590" w:lineRule="exact"/>
        <w:ind w:firstLine="640" w:firstLineChars="200"/>
        <w:textAlignment w:val="auto"/>
        <w:outlineLvl w:val="1"/>
        <w:rPr>
          <w:rFonts w:ascii="方正黑体_GBK" w:eastAsia="方正黑体_GBK" w:hAnsi="方正黑体_GBK" w:cs="方正黑体_GBK" w:hint="eastAsia"/>
          <w:sz w:val="32"/>
          <w:szCs w:val="32"/>
          <w:highlight w:val="none"/>
          <w:lang w:eastAsia="zh-CN"/>
        </w:rPr>
      </w:pPr>
      <w:r>
        <w:rPr>
          <w:rFonts w:ascii="方正黑体_GBK" w:eastAsia="方正黑体_GBK" w:hAnsi="方正黑体_GBK" w:cs="方正黑体_GBK" w:hint="eastAsia"/>
          <w:sz w:val="32"/>
          <w:szCs w:val="32"/>
          <w:highlight w:val="none"/>
          <w:lang w:eastAsia="zh-CN"/>
        </w:rPr>
        <w:t>三、一般公共预算财政拨款支出决算情况说明</w:t>
      </w:r>
    </w:p>
    <w:p w14:paraId="7383B012">
      <w:pPr>
        <w:keepNext w:val="0"/>
        <w:keepLines w:val="0"/>
        <w:pageBreakBefore w:val="0"/>
        <w:kinsoku/>
        <w:wordWrap/>
        <w:overflowPunct/>
        <w:topLinePunct w:val="0"/>
        <w:autoSpaceDE/>
        <w:autoSpaceDN/>
        <w:bidi w:val="0"/>
        <w:spacing w:line="590" w:lineRule="exact"/>
        <w:ind w:firstLine="640" w:firstLineChars="200"/>
        <w:textAlignment w:val="auto"/>
        <w:outlineLvl w:val="2"/>
        <w:rPr>
          <w:rFonts w:ascii="方正楷体_GBK" w:eastAsia="方正楷体_GBK" w:hAnsi="方正楷体_GBK" w:cs="方正楷体_GBK" w:hint="eastAsia"/>
          <w:sz w:val="32"/>
          <w:szCs w:val="32"/>
          <w:highlight w:val="none"/>
          <w:lang w:val="zh-CN" w:eastAsia="zh-CN"/>
        </w:rPr>
      </w:pPr>
      <w:r>
        <w:rPr>
          <w:rFonts w:ascii="方正楷体_GBK" w:eastAsia="方正楷体_GBK" w:hAnsi="方正楷体_GBK" w:cs="方正楷体_GBK" w:hint="eastAsia"/>
          <w:sz w:val="32"/>
          <w:szCs w:val="32"/>
          <w:highlight w:val="none"/>
          <w:lang w:val="zh-CN" w:eastAsia="zh-CN"/>
        </w:rPr>
        <w:t>（一）一般公共预算财政拨款支出决算总体情况</w:t>
      </w:r>
    </w:p>
    <w:p w14:paraId="20168D90">
      <w:pPr>
        <w:keepNext w:val="0"/>
        <w:keepLines w:val="0"/>
        <w:pageBreakBefore w:val="0"/>
        <w:kinsoku/>
        <w:wordWrap/>
        <w:overflowPunct/>
        <w:topLinePunct w:val="0"/>
        <w:autoSpaceDE/>
        <w:autoSpaceDN/>
        <w:bidi w:val="0"/>
        <w:spacing w:line="590" w:lineRule="exact"/>
        <w:ind w:firstLine="640" w:firstLineChars="200"/>
        <w:textAlignment w:val="auto"/>
        <w:rPr>
          <w:rFonts w:ascii="仿宋_GB2312" w:eastAsia="仿宋_GB2312" w:hAnsi="宋体" w:cs="Arial" w:hint="eastAsia"/>
          <w:kern w:val="0"/>
          <w:sz w:val="30"/>
          <w:szCs w:val="30"/>
          <w:highlight w:val="none"/>
        </w:rPr>
      </w:pPr>
      <w:r>
        <w:rPr>
          <w:rFonts w:ascii="Times New Roman" w:eastAsia="方正仿宋_GBK" w:hAnsi="Times New Roman" w:cs="方正仿宋_GBK" w:hint="eastAsia"/>
          <w:bCs/>
          <w:color w:val="auto"/>
          <w:kern w:val="2"/>
          <w:sz w:val="32"/>
          <w:szCs w:val="32"/>
          <w:highlight w:val="none"/>
          <w:lang w:val="zh-CN" w:eastAsia="zh-CN" w:bidi="ar-SA"/>
        </w:rPr>
        <w:t>峨山彝族自治县妇幼保健院</w:t>
      </w:r>
      <w:r>
        <w:rPr>
          <w:rFonts w:ascii="Times New Roman" w:eastAsia="方正仿宋_GBK" w:hAnsi="Times New Roman" w:cs="方正仿宋_GBK" w:hint="eastAsia"/>
          <w:bCs/>
          <w:color w:val="auto"/>
          <w:kern w:val="2"/>
          <w:sz w:val="32"/>
          <w:szCs w:val="32"/>
          <w:highlight w:val="none"/>
          <w:lang w:val="en-US" w:eastAsia="zh-CN" w:bidi="ar-SA"/>
        </w:rPr>
        <w:t>2024年度一般公共预算财政拨款支出</w:t>
      </w:r>
      <w:r>
        <w:rPr>
          <w:rFonts w:ascii="Times New Roman" w:eastAsia="方正仿宋_GBK" w:hAnsi="Times New Roman" w:cs="方正仿宋_GBK" w:hint="eastAsia"/>
          <w:bCs/>
          <w:color w:val="auto"/>
          <w:kern w:val="2"/>
          <w:sz w:val="32"/>
          <w:szCs w:val="32"/>
          <w:highlight w:val="none"/>
          <w:lang w:val="zh-CN" w:eastAsia="zh-CN" w:bidi="ar-SA"/>
        </w:rPr>
        <w:t>9</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212</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778.74</w:t>
      </w:r>
      <w:r>
        <w:rPr>
          <w:rFonts w:ascii="Times New Roman" w:eastAsia="方正仿宋_GBK" w:hAnsi="Times New Roman" w:cs="方正仿宋_GBK" w:hint="eastAsia"/>
          <w:bCs/>
          <w:color w:val="auto"/>
          <w:kern w:val="2"/>
          <w:sz w:val="32"/>
          <w:szCs w:val="32"/>
          <w:highlight w:val="none"/>
          <w:lang w:val="en-US" w:eastAsia="zh-CN" w:bidi="ar-SA"/>
        </w:rPr>
        <w:t>元,占本年支出合计的</w:t>
      </w:r>
      <w:r>
        <w:rPr>
          <w:rFonts w:ascii="Times New Roman" w:eastAsia="方正仿宋_GBK" w:hAnsi="Times New Roman" w:cs="方正仿宋_GBK" w:hint="eastAsia"/>
          <w:bCs/>
          <w:color w:val="auto"/>
          <w:kern w:val="2"/>
          <w:sz w:val="32"/>
          <w:szCs w:val="32"/>
          <w:highlight w:val="none"/>
          <w:lang w:val="zh-CN" w:eastAsia="zh-CN" w:bidi="ar-SA"/>
        </w:rPr>
        <w:t>69.00</w:t>
      </w:r>
      <w:r>
        <w:rPr>
          <w:rFonts w:ascii="Times New Roman" w:eastAsia="方正仿宋_GBK" w:hAnsi="Times New Roman" w:cs="方正仿宋_GBK" w:hint="eastAsia"/>
          <w:bCs/>
          <w:color w:val="auto"/>
          <w:kern w:val="2"/>
          <w:sz w:val="32"/>
          <w:szCs w:val="32"/>
          <w:highlight w:val="none"/>
          <w:lang w:val="en-US" w:eastAsia="zh-CN" w:bidi="ar-SA"/>
        </w:rPr>
        <w:t>%。与上年相比增加</w:t>
      </w:r>
      <w:r>
        <w:rPr>
          <w:rFonts w:ascii="Times New Roman" w:eastAsia="方正仿宋_GBK" w:hAnsi="Times New Roman" w:cs="方正仿宋_GBK" w:hint="eastAsia"/>
          <w:bCs/>
          <w:color w:val="auto"/>
          <w:kern w:val="2"/>
          <w:sz w:val="32"/>
          <w:szCs w:val="32"/>
          <w:highlight w:val="none"/>
          <w:lang w:val="zh-CN" w:eastAsia="zh-CN" w:bidi="ar-SA"/>
        </w:rPr>
        <w:t>106</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692.24</w:t>
      </w:r>
      <w:r>
        <w:rPr>
          <w:rFonts w:ascii="Times New Roman" w:eastAsia="方正仿宋_GBK" w:hAnsi="Times New Roman" w:cs="方正仿宋_GBK" w:hint="eastAsia"/>
          <w:bCs/>
          <w:color w:val="auto"/>
          <w:kern w:val="2"/>
          <w:sz w:val="32"/>
          <w:szCs w:val="32"/>
          <w:highlight w:val="none"/>
          <w:lang w:val="en-US" w:eastAsia="zh-CN" w:bidi="ar-SA"/>
        </w:rPr>
        <w:t>元，增长</w:t>
      </w:r>
      <w:r>
        <w:rPr>
          <w:rFonts w:ascii="Times New Roman" w:eastAsia="方正仿宋_GBK" w:hAnsi="Times New Roman" w:cs="方正仿宋_GBK" w:hint="eastAsia"/>
          <w:bCs/>
          <w:color w:val="auto"/>
          <w:kern w:val="2"/>
          <w:sz w:val="32"/>
          <w:szCs w:val="32"/>
          <w:highlight w:val="none"/>
          <w:lang w:val="zh-CN" w:eastAsia="zh-CN" w:bidi="ar-SA"/>
        </w:rPr>
        <w:t>1.17</w:t>
      </w:r>
      <w:r>
        <w:rPr>
          <w:rFonts w:ascii="Times New Roman" w:eastAsia="方正仿宋_GBK" w:hAnsi="Times New Roman" w:cs="方正仿宋_GBK" w:hint="eastAsia"/>
          <w:bCs/>
          <w:color w:val="auto"/>
          <w:kern w:val="2"/>
          <w:sz w:val="32"/>
          <w:szCs w:val="32"/>
          <w:highlight w:val="none"/>
          <w:lang w:val="en-US" w:eastAsia="zh-CN" w:bidi="ar-SA"/>
        </w:rPr>
        <w:t>%,完成年初预算的</w:t>
      </w:r>
      <w:r>
        <w:rPr>
          <w:rFonts w:ascii="Times New Roman" w:eastAsia="方正仿宋_GBK" w:hAnsi="Times New Roman" w:cs="方正仿宋_GBK" w:hint="eastAsia"/>
          <w:bCs/>
          <w:color w:val="auto"/>
          <w:kern w:val="2"/>
          <w:sz w:val="32"/>
          <w:szCs w:val="32"/>
          <w:highlight w:val="none"/>
          <w:lang w:val="zh-CN" w:eastAsia="zh-CN" w:bidi="ar-SA"/>
        </w:rPr>
        <w:t>98.40</w:t>
      </w:r>
      <w:r>
        <w:rPr>
          <w:rFonts w:ascii="Times New Roman" w:eastAsia="方正仿宋_GBK" w:hAnsi="Times New Roman" w:cs="方正仿宋_GBK" w:hint="eastAsia"/>
          <w:bCs/>
          <w:color w:val="auto"/>
          <w:kern w:val="2"/>
          <w:sz w:val="32"/>
          <w:szCs w:val="32"/>
          <w:highlight w:val="none"/>
          <w:lang w:val="en-US" w:eastAsia="zh-CN" w:bidi="ar-SA"/>
        </w:rPr>
        <w:t>%。</w:t>
      </w:r>
    </w:p>
    <w:p w14:paraId="2CD52228">
      <w:pPr>
        <w:keepNext w:val="0"/>
        <w:keepLines w:val="0"/>
        <w:pageBreakBefore w:val="0"/>
        <w:widowControl/>
        <w:kinsoku/>
        <w:wordWrap/>
        <w:overflowPunct/>
        <w:topLinePunct w:val="0"/>
        <w:autoSpaceDE/>
        <w:autoSpaceDN/>
        <w:bidi w:val="0"/>
        <w:snapToGrid w:val="0"/>
        <w:spacing w:before="100" w:after="100" w:line="590" w:lineRule="exact"/>
        <w:ind w:firstLine="640" w:firstLineChars="200"/>
        <w:jc w:val="left"/>
        <w:textAlignment w:val="auto"/>
        <w:outlineLvl w:val="2"/>
        <w:rPr>
          <w:rFonts w:ascii="楷体" w:eastAsia="楷体" w:hAnsi="楷体" w:hint="eastAsia"/>
          <w:sz w:val="30"/>
          <w:szCs w:val="30"/>
          <w:highlight w:val="none"/>
        </w:rPr>
      </w:pPr>
      <w:r>
        <w:rPr>
          <w:rFonts w:ascii="方正楷体_GBK" w:eastAsia="方正楷体_GBK" w:hAnsi="方正楷体_GBK" w:cs="方正楷体_GBK" w:hint="eastAsia"/>
          <w:sz w:val="32"/>
          <w:szCs w:val="32"/>
          <w:highlight w:val="none"/>
          <w:lang w:val="zh-CN" w:eastAsia="zh-CN"/>
        </w:rPr>
        <w:t>（二）一般公共预算财政拨款支出决算分功能分类科目情况</w:t>
      </w:r>
    </w:p>
    <w:p w14:paraId="1EE942FC">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zh-CN" w:eastAsia="zh-CN" w:bidi="ar-SA"/>
        </w:rPr>
        <w:t>1.一般公共服务（类）支出30</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000.00元，占一般公共预算财政拨款总支出的0.33%,完成年初预算的</w:t>
      </w:r>
      <w:r>
        <w:rPr>
          <w:rFonts w:ascii="Times New Roman" w:eastAsia="方正仿宋_GBK" w:hAnsi="Times New Roman" w:cs="方正仿宋_GBK" w:hint="eastAsia"/>
          <w:bCs/>
          <w:color w:val="auto"/>
          <w:kern w:val="2"/>
          <w:sz w:val="32"/>
          <w:szCs w:val="32"/>
          <w:highlight w:val="none"/>
          <w:lang w:val="en-US" w:eastAsia="zh-CN" w:bidi="ar-SA"/>
        </w:rPr>
        <w:t>0.00%</w:t>
      </w:r>
      <w:r>
        <w:rPr>
          <w:rFonts w:ascii="Times New Roman" w:eastAsia="方正仿宋_GBK" w:hAnsi="Times New Roman" w:cs="方正仿宋_GBK" w:hint="eastAsia"/>
          <w:bCs/>
          <w:color w:val="auto"/>
          <w:kern w:val="2"/>
          <w:sz w:val="32"/>
          <w:szCs w:val="32"/>
          <w:highlight w:val="none"/>
          <w:lang w:val="zh-CN" w:eastAsia="zh-CN" w:bidi="ar-SA"/>
        </w:rPr>
        <w:t>。主要用于清廉医院创建工作；造成预决算差异的主要原因是年初无此项预算。</w:t>
      </w:r>
    </w:p>
    <w:p w14:paraId="33EDE618">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zh-CN" w:eastAsia="zh-CN" w:bidi="ar-SA"/>
        </w:rPr>
        <w:t>2.外交（类）支出0.00元，占一般公共预算财政拨款总支出的0.00%</w:t>
      </w:r>
      <w:r>
        <w:rPr>
          <w:rFonts w:eastAsia="方正仿宋_GBK" w:cs="方正仿宋_GBK" w:hint="eastAsia"/>
          <w:bCs/>
          <w:color w:val="auto"/>
          <w:kern w:val="2"/>
          <w:sz w:val="32"/>
          <w:szCs w:val="32"/>
          <w:highlight w:val="none"/>
          <w:lang w:val="zh-CN"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年初无此项预算。</w:t>
      </w:r>
    </w:p>
    <w:p w14:paraId="21C0CC4E">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zh-CN" w:eastAsia="zh-CN" w:bidi="ar-SA"/>
        </w:rPr>
        <w:t>3.国防（类）支出0.00元，占一般公共预算财政拨款总支出的0.00%</w:t>
      </w:r>
      <w:r>
        <w:rPr>
          <w:rFonts w:eastAsia="方正仿宋_GBK" w:cs="方正仿宋_GBK" w:hint="eastAsia"/>
          <w:bCs/>
          <w:color w:val="auto"/>
          <w:kern w:val="2"/>
          <w:sz w:val="32"/>
          <w:szCs w:val="32"/>
          <w:highlight w:val="none"/>
          <w:lang w:val="zh-CN"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年初无此项预算。</w:t>
      </w:r>
    </w:p>
    <w:p w14:paraId="40760780">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zh-CN" w:eastAsia="zh-CN" w:bidi="ar-SA"/>
        </w:rPr>
        <w:t>4.公共安全（类）支出0.00元，占一般公共预算财政拨款总支出的0.00%</w:t>
      </w:r>
      <w:r>
        <w:rPr>
          <w:rFonts w:eastAsia="方正仿宋_GBK" w:cs="方正仿宋_GBK" w:hint="eastAsia"/>
          <w:bCs/>
          <w:color w:val="auto"/>
          <w:kern w:val="2"/>
          <w:sz w:val="32"/>
          <w:szCs w:val="32"/>
          <w:highlight w:val="none"/>
          <w:lang w:val="zh-CN"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年初无此项预算。</w:t>
      </w:r>
    </w:p>
    <w:p w14:paraId="2060EA13">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5.教育（类）支出0.00元，占一般公共预算财政拨款总支出的0.00%</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年初无此项预算。</w:t>
      </w:r>
    </w:p>
    <w:p w14:paraId="7FDBBADC">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6.科学技术（类）支出0.00元，占一般公共预算财政拨款总支出的0.00%</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年初无此项预算。</w:t>
      </w:r>
    </w:p>
    <w:p w14:paraId="6444A725">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7.文化旅游体育与传媒（类）支出0.00元，占一般公共预算财政拨款总支出的0.00%</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年初无此项预算。</w:t>
      </w:r>
    </w:p>
    <w:p w14:paraId="5AA923E3">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8.社会保障和就业（类）支出1</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en-US" w:eastAsia="zh-CN" w:bidi="ar-SA"/>
        </w:rPr>
        <w:t>180</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en-US" w:eastAsia="zh-CN" w:bidi="ar-SA"/>
        </w:rPr>
        <w:t>040.12元，占一般公共预算财政拨款总支出的12.81%</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完成年初预算的75.66</w:t>
      </w:r>
      <w:r>
        <w:rPr>
          <w:rFonts w:ascii="Times New Roman" w:eastAsia="方正仿宋_GBK" w:hAnsi="Times New Roman"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。主要用于</w:t>
      </w:r>
      <w:r>
        <w:rPr>
          <w:rFonts w:ascii="Times New Roman" w:eastAsia="方正仿宋_GBK" w:hAnsi="Times New Roman" w:cs="方正仿宋_GBK" w:hint="default"/>
          <w:bCs/>
          <w:color w:val="auto"/>
          <w:kern w:val="2"/>
          <w:sz w:val="32"/>
          <w:szCs w:val="32"/>
          <w:highlight w:val="none"/>
          <w:lang w:val="en-US" w:eastAsia="zh-CN" w:bidi="ar-SA"/>
        </w:rPr>
        <w:t>在职职工基本养老保险缴费支出、职业年金缴费支出</w:t>
      </w:r>
      <w:r>
        <w:rPr>
          <w:rFonts w:ascii="Times New Roman" w:eastAsia="方正仿宋_GBK" w:hAnsi="Times New Roman" w:cs="方正仿宋_GBK" w:hint="eastAsia"/>
          <w:bCs/>
          <w:color w:val="auto"/>
          <w:kern w:val="2"/>
          <w:sz w:val="32"/>
          <w:szCs w:val="32"/>
          <w:highlight w:val="none"/>
          <w:lang w:val="en-US" w:eastAsia="zh-CN" w:bidi="ar-SA"/>
        </w:rPr>
        <w:t>、</w:t>
      </w:r>
      <w:r>
        <w:rPr>
          <w:rFonts w:ascii="Times New Roman" w:eastAsia="方正仿宋_GBK" w:hAnsi="Times New Roman" w:cs="方正仿宋_GBK" w:hint="default"/>
          <w:bCs/>
          <w:color w:val="auto"/>
          <w:kern w:val="2"/>
          <w:sz w:val="32"/>
          <w:szCs w:val="32"/>
          <w:highlight w:val="none"/>
          <w:lang w:val="en-US" w:eastAsia="zh-CN" w:bidi="ar-SA"/>
        </w:rPr>
        <w:t>单位退休人员生活补助</w:t>
      </w:r>
      <w:r>
        <w:rPr>
          <w:rFonts w:ascii="Times New Roman" w:eastAsia="方正仿宋_GBK" w:hAnsi="Times New Roman" w:cs="方正仿宋_GBK" w:hint="eastAsia"/>
          <w:bCs/>
          <w:color w:val="auto"/>
          <w:kern w:val="2"/>
          <w:sz w:val="32"/>
          <w:szCs w:val="32"/>
          <w:highlight w:val="none"/>
          <w:lang w:val="zh-CN" w:eastAsia="zh-CN" w:bidi="ar-SA"/>
        </w:rPr>
        <w:t>；造成预决算差异的主要原因是202</w:t>
      </w:r>
      <w:r>
        <w:rPr>
          <w:rFonts w:ascii="Times New Roman" w:eastAsia="方正仿宋_GBK" w:hAnsi="Times New Roman" w:cs="方正仿宋_GBK" w:hint="eastAsia"/>
          <w:bCs/>
          <w:color w:val="auto"/>
          <w:kern w:val="2"/>
          <w:sz w:val="32"/>
          <w:szCs w:val="32"/>
          <w:highlight w:val="none"/>
          <w:lang w:val="en-US" w:eastAsia="zh-CN" w:bidi="ar-SA"/>
        </w:rPr>
        <w:t>4</w:t>
      </w:r>
      <w:r>
        <w:rPr>
          <w:rFonts w:ascii="Times New Roman" w:eastAsia="方正仿宋_GBK" w:hAnsi="Times New Roman" w:cs="方正仿宋_GBK" w:hint="eastAsia"/>
          <w:bCs/>
          <w:color w:val="auto"/>
          <w:kern w:val="2"/>
          <w:sz w:val="32"/>
          <w:szCs w:val="32"/>
          <w:highlight w:val="none"/>
          <w:lang w:val="zh-CN" w:eastAsia="zh-CN" w:bidi="ar-SA"/>
        </w:rPr>
        <w:t>年退休人员生活补助没有发放。</w:t>
      </w:r>
    </w:p>
    <w:p w14:paraId="0FE556BF">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9.卫生健康（类）支出</w:t>
      </w:r>
      <w:r>
        <w:rPr>
          <w:rFonts w:ascii="Times New Roman" w:eastAsia="方正仿宋_GBK" w:hAnsi="Times New Roman" w:cs="方正仿宋_GBK" w:hint="eastAsia"/>
          <w:bCs/>
          <w:color w:val="auto"/>
          <w:kern w:val="2"/>
          <w:sz w:val="32"/>
          <w:szCs w:val="32"/>
          <w:highlight w:val="none"/>
          <w:lang w:val="zh-CN" w:eastAsia="zh-CN" w:bidi="ar-SA"/>
        </w:rPr>
        <w:t>7</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890</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252.62元，占一般公共预算财政拨款总支出的85.64%</w:t>
      </w:r>
      <w:r>
        <w:rPr>
          <w:rFonts w:eastAsia="方正仿宋_GBK" w:cs="方正仿宋_GBK" w:hint="eastAsia"/>
          <w:bCs/>
          <w:color w:val="auto"/>
          <w:kern w:val="2"/>
          <w:sz w:val="32"/>
          <w:szCs w:val="32"/>
          <w:highlight w:val="none"/>
          <w:lang w:val="zh-CN"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完成年初预算的111.99</w:t>
      </w:r>
      <w:r>
        <w:rPr>
          <w:rFonts w:ascii="Times New Roman" w:eastAsia="方正仿宋_GBK" w:hAnsi="Times New Roman"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。主要用于</w:t>
      </w:r>
      <w:r>
        <w:rPr>
          <w:rFonts w:ascii="Times New Roman" w:eastAsia="方正仿宋_GBK" w:hAnsi="Times New Roman" w:cs="方正仿宋_GBK" w:hint="default"/>
          <w:bCs/>
          <w:color w:val="auto"/>
          <w:kern w:val="2"/>
          <w:sz w:val="32"/>
          <w:szCs w:val="32"/>
          <w:highlight w:val="none"/>
          <w:lang w:val="en-US" w:eastAsia="zh-CN" w:bidi="ar-SA"/>
        </w:rPr>
        <w:t>在职职工工资支出、医疗保险缴费支出</w:t>
      </w:r>
      <w:r>
        <w:rPr>
          <w:rFonts w:ascii="Times New Roman" w:eastAsia="方正仿宋_GBK" w:hAnsi="Times New Roman" w:cs="方正仿宋_GBK" w:hint="eastAsia"/>
          <w:bCs/>
          <w:color w:val="auto"/>
          <w:kern w:val="2"/>
          <w:sz w:val="32"/>
          <w:szCs w:val="32"/>
          <w:highlight w:val="none"/>
          <w:lang w:val="zh-CN" w:eastAsia="zh-CN" w:bidi="ar-SA"/>
        </w:rPr>
        <w:t>；造成预决算差异的主要原因是</w:t>
      </w:r>
      <w:r>
        <w:rPr>
          <w:rFonts w:ascii="Times New Roman" w:eastAsia="方正仿宋_GBK" w:hAnsi="Times New Roman" w:cs="方正仿宋_GBK" w:hint="eastAsia"/>
          <w:bCs/>
          <w:color w:val="auto"/>
          <w:kern w:val="2"/>
          <w:sz w:val="32"/>
          <w:szCs w:val="32"/>
          <w:highlight w:val="none"/>
          <w:lang w:val="en-US" w:eastAsia="zh-CN" w:bidi="ar-SA"/>
        </w:rPr>
        <w:t>2024年新进职工2人，工资、医疗保险缴费增加</w:t>
      </w:r>
      <w:r>
        <w:rPr>
          <w:rFonts w:ascii="Times New Roman" w:eastAsia="方正仿宋_GBK" w:hAnsi="Times New Roman" w:cs="方正仿宋_GBK" w:hint="eastAsia"/>
          <w:bCs/>
          <w:color w:val="auto"/>
          <w:kern w:val="2"/>
          <w:sz w:val="32"/>
          <w:szCs w:val="32"/>
          <w:highlight w:val="none"/>
          <w:lang w:val="zh-CN" w:eastAsia="zh-CN" w:bidi="ar-SA"/>
        </w:rPr>
        <w:t>。</w:t>
      </w:r>
    </w:p>
    <w:p w14:paraId="4CBDC493">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10.节能环保（类）支出</w:t>
      </w:r>
      <w:r>
        <w:rPr>
          <w:rFonts w:ascii="Times New Roman" w:eastAsia="方正仿宋_GBK" w:hAnsi="Times New Roman" w:cs="方正仿宋_GBK" w:hint="eastAsia"/>
          <w:bCs/>
          <w:color w:val="auto"/>
          <w:kern w:val="2"/>
          <w:sz w:val="32"/>
          <w:szCs w:val="32"/>
          <w:highlight w:val="none"/>
          <w:lang w:val="zh-CN" w:eastAsia="zh-CN" w:bidi="ar-SA"/>
        </w:rPr>
        <w:t>0.00元，占一般公共预算财政拨款总支出的0.00%</w:t>
      </w:r>
      <w:r>
        <w:rPr>
          <w:rFonts w:eastAsia="方正仿宋_GBK" w:cs="方正仿宋_GBK" w:hint="eastAsia"/>
          <w:bCs/>
          <w:color w:val="auto"/>
          <w:kern w:val="2"/>
          <w:sz w:val="32"/>
          <w:szCs w:val="32"/>
          <w:highlight w:val="none"/>
          <w:lang w:val="zh-CN"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年初无此项预算。</w:t>
      </w:r>
    </w:p>
    <w:p w14:paraId="1C5D7DED">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11.城乡社区（类）支出</w:t>
      </w:r>
      <w:r>
        <w:rPr>
          <w:rFonts w:ascii="Times New Roman" w:eastAsia="方正仿宋_GBK" w:hAnsi="Times New Roman" w:cs="方正仿宋_GBK" w:hint="eastAsia"/>
          <w:bCs/>
          <w:color w:val="auto"/>
          <w:kern w:val="2"/>
          <w:sz w:val="32"/>
          <w:szCs w:val="32"/>
          <w:highlight w:val="none"/>
          <w:lang w:val="zh-CN" w:eastAsia="zh-CN" w:bidi="ar-SA"/>
        </w:rPr>
        <w:t>0.00元，占一般公共预算财政拨款总支出的0.00%</w:t>
      </w:r>
      <w:r>
        <w:rPr>
          <w:rFonts w:eastAsia="方正仿宋_GBK" w:cs="方正仿宋_GBK" w:hint="eastAsia"/>
          <w:bCs/>
          <w:color w:val="auto"/>
          <w:kern w:val="2"/>
          <w:sz w:val="32"/>
          <w:szCs w:val="32"/>
          <w:highlight w:val="none"/>
          <w:lang w:val="zh-CN"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年初无此项预算。</w:t>
      </w:r>
    </w:p>
    <w:p w14:paraId="7D508824">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12.农林水（类）支出</w:t>
      </w:r>
      <w:r>
        <w:rPr>
          <w:rFonts w:ascii="Times New Roman" w:eastAsia="方正仿宋_GBK" w:hAnsi="Times New Roman" w:cs="方正仿宋_GBK" w:hint="eastAsia"/>
          <w:bCs/>
          <w:color w:val="auto"/>
          <w:kern w:val="2"/>
          <w:sz w:val="32"/>
          <w:szCs w:val="32"/>
          <w:highlight w:val="none"/>
          <w:lang w:val="zh-CN" w:eastAsia="zh-CN" w:bidi="ar-SA"/>
        </w:rPr>
        <w:t>0.00元，占一般公共预算财政拨款总支出的0.00%</w:t>
      </w:r>
      <w:r>
        <w:rPr>
          <w:rFonts w:eastAsia="方正仿宋_GBK" w:cs="方正仿宋_GBK" w:hint="eastAsia"/>
          <w:bCs/>
          <w:color w:val="auto"/>
          <w:kern w:val="2"/>
          <w:sz w:val="32"/>
          <w:szCs w:val="32"/>
          <w:highlight w:val="none"/>
          <w:lang w:val="zh-CN"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年初无此项预算。</w:t>
      </w:r>
    </w:p>
    <w:p w14:paraId="6DFB7880">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13.交通运输（类）支出</w:t>
      </w:r>
      <w:r>
        <w:rPr>
          <w:rFonts w:ascii="Times New Roman" w:eastAsia="方正仿宋_GBK" w:hAnsi="Times New Roman" w:cs="方正仿宋_GBK" w:hint="eastAsia"/>
          <w:bCs/>
          <w:color w:val="auto"/>
          <w:kern w:val="2"/>
          <w:sz w:val="32"/>
          <w:szCs w:val="32"/>
          <w:highlight w:val="none"/>
          <w:lang w:val="zh-CN" w:eastAsia="zh-CN" w:bidi="ar-SA"/>
        </w:rPr>
        <w:t>0.00元，占一般公共预算财政拨款总支出的0.00%</w:t>
      </w:r>
      <w:r>
        <w:rPr>
          <w:rFonts w:eastAsia="方正仿宋_GBK" w:cs="方正仿宋_GBK" w:hint="eastAsia"/>
          <w:bCs/>
          <w:color w:val="auto"/>
          <w:kern w:val="2"/>
          <w:sz w:val="32"/>
          <w:szCs w:val="32"/>
          <w:highlight w:val="none"/>
          <w:lang w:val="zh-CN"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年初无此项预算。</w:t>
      </w:r>
    </w:p>
    <w:p w14:paraId="4D401909">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14.资源勘探工业信息等（类）支出</w:t>
      </w:r>
      <w:r>
        <w:rPr>
          <w:rFonts w:ascii="Times New Roman" w:eastAsia="方正仿宋_GBK" w:hAnsi="Times New Roman" w:cs="方正仿宋_GBK" w:hint="eastAsia"/>
          <w:bCs/>
          <w:color w:val="auto"/>
          <w:kern w:val="2"/>
          <w:sz w:val="32"/>
          <w:szCs w:val="32"/>
          <w:highlight w:val="none"/>
          <w:lang w:val="zh-CN" w:eastAsia="zh-CN" w:bidi="ar-SA"/>
        </w:rPr>
        <w:t>0.00元，占一般公共预算财政拨款总支出的0.00%</w:t>
      </w:r>
      <w:r>
        <w:rPr>
          <w:rFonts w:eastAsia="方正仿宋_GBK" w:cs="方正仿宋_GBK" w:hint="eastAsia"/>
          <w:bCs/>
          <w:color w:val="auto"/>
          <w:kern w:val="2"/>
          <w:sz w:val="32"/>
          <w:szCs w:val="32"/>
          <w:highlight w:val="none"/>
          <w:lang w:val="zh-CN"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年初无此项预算。</w:t>
      </w:r>
    </w:p>
    <w:p w14:paraId="45A0E275">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15.商业服务业等（类）支出</w:t>
      </w:r>
      <w:r>
        <w:rPr>
          <w:rFonts w:ascii="Times New Roman" w:eastAsia="方正仿宋_GBK" w:hAnsi="Times New Roman" w:cs="方正仿宋_GBK" w:hint="eastAsia"/>
          <w:bCs/>
          <w:color w:val="auto"/>
          <w:kern w:val="2"/>
          <w:sz w:val="32"/>
          <w:szCs w:val="32"/>
          <w:highlight w:val="none"/>
          <w:lang w:val="zh-CN" w:eastAsia="zh-CN" w:bidi="ar-SA"/>
        </w:rPr>
        <w:t>0.00元，占一般公共预算财政拨款总支出的0.00%</w:t>
      </w:r>
      <w:r>
        <w:rPr>
          <w:rFonts w:eastAsia="方正仿宋_GBK" w:cs="方正仿宋_GBK" w:hint="eastAsia"/>
          <w:bCs/>
          <w:color w:val="auto"/>
          <w:kern w:val="2"/>
          <w:sz w:val="32"/>
          <w:szCs w:val="32"/>
          <w:highlight w:val="none"/>
          <w:lang w:val="zh-CN"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年初无此项预算。</w:t>
      </w:r>
    </w:p>
    <w:p w14:paraId="051F5864">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16.金融（类）支出</w:t>
      </w:r>
      <w:r>
        <w:rPr>
          <w:rFonts w:ascii="Times New Roman" w:eastAsia="方正仿宋_GBK" w:hAnsi="Times New Roman" w:cs="方正仿宋_GBK" w:hint="eastAsia"/>
          <w:bCs/>
          <w:color w:val="auto"/>
          <w:kern w:val="2"/>
          <w:sz w:val="32"/>
          <w:szCs w:val="32"/>
          <w:highlight w:val="none"/>
          <w:lang w:val="zh-CN" w:eastAsia="zh-CN" w:bidi="ar-SA"/>
        </w:rPr>
        <w:t>0.00元，占一般公共预算财政拨款总支出的0.00%</w:t>
      </w:r>
      <w:r>
        <w:rPr>
          <w:rFonts w:eastAsia="方正仿宋_GBK" w:cs="方正仿宋_GBK" w:hint="eastAsia"/>
          <w:bCs/>
          <w:color w:val="auto"/>
          <w:kern w:val="2"/>
          <w:sz w:val="32"/>
          <w:szCs w:val="32"/>
          <w:highlight w:val="none"/>
          <w:lang w:val="zh-CN"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年初无此项预算。</w:t>
      </w:r>
    </w:p>
    <w:p w14:paraId="6159783A">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17.援助其他地区（类）支出</w:t>
      </w:r>
      <w:r>
        <w:rPr>
          <w:rFonts w:ascii="Times New Roman" w:eastAsia="方正仿宋_GBK" w:hAnsi="Times New Roman" w:cs="方正仿宋_GBK" w:hint="eastAsia"/>
          <w:bCs/>
          <w:color w:val="auto"/>
          <w:kern w:val="2"/>
          <w:sz w:val="32"/>
          <w:szCs w:val="32"/>
          <w:highlight w:val="none"/>
          <w:lang w:val="zh-CN" w:eastAsia="zh-CN" w:bidi="ar-SA"/>
        </w:rPr>
        <w:t>0.00元，占一般公共预算财政拨款总支出的0.00%</w:t>
      </w:r>
      <w:r>
        <w:rPr>
          <w:rFonts w:eastAsia="方正仿宋_GBK" w:cs="方正仿宋_GBK" w:hint="eastAsia"/>
          <w:bCs/>
          <w:color w:val="auto"/>
          <w:kern w:val="2"/>
          <w:sz w:val="32"/>
          <w:szCs w:val="32"/>
          <w:highlight w:val="none"/>
          <w:lang w:val="zh-CN"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年初无此项预算。</w:t>
      </w:r>
    </w:p>
    <w:p w14:paraId="3900E148">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18.自然资源海洋气象等（类）支出</w:t>
      </w:r>
      <w:r>
        <w:rPr>
          <w:rFonts w:ascii="Times New Roman" w:eastAsia="方正仿宋_GBK" w:hAnsi="Times New Roman" w:cs="方正仿宋_GBK" w:hint="eastAsia"/>
          <w:bCs/>
          <w:color w:val="auto"/>
          <w:kern w:val="2"/>
          <w:sz w:val="32"/>
          <w:szCs w:val="32"/>
          <w:highlight w:val="none"/>
          <w:lang w:val="zh-CN" w:eastAsia="zh-CN" w:bidi="ar-SA"/>
        </w:rPr>
        <w:t>0.00元，占一般公共预算财政拨款总支出的0.00%</w:t>
      </w:r>
      <w:r>
        <w:rPr>
          <w:rFonts w:eastAsia="方正仿宋_GBK" w:cs="方正仿宋_GBK" w:hint="eastAsia"/>
          <w:bCs/>
          <w:color w:val="auto"/>
          <w:kern w:val="2"/>
          <w:sz w:val="32"/>
          <w:szCs w:val="32"/>
          <w:highlight w:val="none"/>
          <w:lang w:val="zh-CN"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年初无此项预算。</w:t>
      </w:r>
    </w:p>
    <w:p w14:paraId="032C375E">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19.住房保障（类）支出</w:t>
      </w:r>
      <w:r>
        <w:rPr>
          <w:rFonts w:ascii="Times New Roman" w:eastAsia="方正仿宋_GBK" w:hAnsi="Times New Roman" w:cs="方正仿宋_GBK" w:hint="eastAsia"/>
          <w:bCs/>
          <w:color w:val="auto"/>
          <w:kern w:val="2"/>
          <w:sz w:val="32"/>
          <w:szCs w:val="32"/>
          <w:highlight w:val="none"/>
          <w:lang w:val="zh-CN" w:eastAsia="zh-CN" w:bidi="ar-SA"/>
        </w:rPr>
        <w:t>112</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486.00元，占一般公共预算财政拨款总支出的1.22%</w:t>
      </w:r>
      <w:r>
        <w:rPr>
          <w:rFonts w:eastAsia="方正仿宋_GBK" w:cs="方正仿宋_GBK" w:hint="eastAsia"/>
          <w:bCs/>
          <w:color w:val="auto"/>
          <w:kern w:val="2"/>
          <w:sz w:val="32"/>
          <w:szCs w:val="32"/>
          <w:highlight w:val="none"/>
          <w:lang w:val="zh-CN"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完成年初预算的14.84</w:t>
      </w:r>
      <w:r>
        <w:rPr>
          <w:rFonts w:ascii="Times New Roman" w:eastAsia="方正仿宋_GBK" w:hAnsi="Times New Roman"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。主要用于</w:t>
      </w:r>
      <w:r>
        <w:rPr>
          <w:rFonts w:ascii="Times New Roman" w:eastAsia="方正仿宋_GBK" w:hAnsi="Times New Roman" w:cs="方正仿宋_GBK" w:hint="default"/>
          <w:bCs/>
          <w:color w:val="auto"/>
          <w:kern w:val="2"/>
          <w:sz w:val="32"/>
          <w:szCs w:val="32"/>
          <w:highlight w:val="none"/>
          <w:lang w:val="en-US" w:eastAsia="zh-CN" w:bidi="ar-SA"/>
        </w:rPr>
        <w:t>在职职工住房公积金缴费支出</w:t>
      </w:r>
      <w:r>
        <w:rPr>
          <w:rFonts w:ascii="Times New Roman" w:eastAsia="方正仿宋_GBK" w:hAnsi="Times New Roman" w:cs="方正仿宋_GBK" w:hint="eastAsia"/>
          <w:bCs/>
          <w:color w:val="auto"/>
          <w:kern w:val="2"/>
          <w:sz w:val="32"/>
          <w:szCs w:val="32"/>
          <w:highlight w:val="none"/>
          <w:lang w:val="zh-CN" w:eastAsia="zh-CN" w:bidi="ar-SA"/>
        </w:rPr>
        <w:t>；造成预决算差异的主要原因是住房公积金单位部分只发放到</w:t>
      </w:r>
      <w:r>
        <w:rPr>
          <w:rFonts w:ascii="Times New Roman" w:eastAsia="方正仿宋_GBK" w:hAnsi="Times New Roman" w:cs="方正仿宋_GBK" w:hint="eastAsia"/>
          <w:bCs/>
          <w:color w:val="auto"/>
          <w:kern w:val="2"/>
          <w:sz w:val="32"/>
          <w:szCs w:val="32"/>
          <w:highlight w:val="none"/>
          <w:lang w:val="en-US" w:eastAsia="zh-CN" w:bidi="ar-SA"/>
        </w:rPr>
        <w:t>1月</w:t>
      </w:r>
      <w:r>
        <w:rPr>
          <w:rFonts w:ascii="Times New Roman" w:eastAsia="方正仿宋_GBK" w:hAnsi="Times New Roman" w:cs="方正仿宋_GBK" w:hint="eastAsia"/>
          <w:bCs/>
          <w:color w:val="auto"/>
          <w:kern w:val="2"/>
          <w:sz w:val="32"/>
          <w:szCs w:val="32"/>
          <w:highlight w:val="none"/>
          <w:lang w:val="zh-CN" w:eastAsia="zh-CN" w:bidi="ar-SA"/>
        </w:rPr>
        <w:t>。</w:t>
      </w:r>
    </w:p>
    <w:p w14:paraId="0B08A485">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20.粮油物资储备（类）支出</w:t>
      </w:r>
      <w:r>
        <w:rPr>
          <w:rFonts w:ascii="Times New Roman" w:eastAsia="方正仿宋_GBK" w:hAnsi="Times New Roman" w:cs="方正仿宋_GBK" w:hint="eastAsia"/>
          <w:bCs/>
          <w:color w:val="auto"/>
          <w:kern w:val="2"/>
          <w:sz w:val="32"/>
          <w:szCs w:val="32"/>
          <w:highlight w:val="none"/>
          <w:lang w:val="zh-CN" w:eastAsia="zh-CN" w:bidi="ar-SA"/>
        </w:rPr>
        <w:t>0.00元，占一般公共预算财政拨款总支出的0.00%</w:t>
      </w:r>
      <w:r>
        <w:rPr>
          <w:rFonts w:eastAsia="方正仿宋_GBK" w:cs="方正仿宋_GBK" w:hint="eastAsia"/>
          <w:bCs/>
          <w:color w:val="auto"/>
          <w:kern w:val="2"/>
          <w:sz w:val="32"/>
          <w:szCs w:val="32"/>
          <w:highlight w:val="none"/>
          <w:lang w:val="zh-CN"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年初无此项预算。</w:t>
      </w:r>
    </w:p>
    <w:p w14:paraId="08E9D056">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21.国有资本经营预算（类）支出</w:t>
      </w:r>
      <w:r>
        <w:rPr>
          <w:rFonts w:ascii="Times New Roman" w:eastAsia="方正仿宋_GBK" w:hAnsi="Times New Roman" w:cs="方正仿宋_GBK" w:hint="eastAsia"/>
          <w:bCs/>
          <w:color w:val="auto"/>
          <w:kern w:val="2"/>
          <w:sz w:val="32"/>
          <w:szCs w:val="32"/>
          <w:highlight w:val="none"/>
          <w:lang w:val="zh-CN" w:eastAsia="zh-CN" w:bidi="ar-SA"/>
        </w:rPr>
        <w:t>0.00元，占一般公共预算财政拨款总支出的0.00%</w:t>
      </w:r>
      <w:r>
        <w:rPr>
          <w:rFonts w:eastAsia="方正仿宋_GBK" w:cs="方正仿宋_GBK" w:hint="eastAsia"/>
          <w:bCs/>
          <w:color w:val="auto"/>
          <w:kern w:val="2"/>
          <w:sz w:val="32"/>
          <w:szCs w:val="32"/>
          <w:highlight w:val="none"/>
          <w:lang w:val="zh-CN"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年初无此项预算。</w:t>
      </w:r>
    </w:p>
    <w:p w14:paraId="1D7F22CE">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22.灾害防治及应急管理（类）支出</w:t>
      </w:r>
      <w:r>
        <w:rPr>
          <w:rFonts w:ascii="Times New Roman" w:eastAsia="方正仿宋_GBK" w:hAnsi="Times New Roman" w:cs="方正仿宋_GBK" w:hint="eastAsia"/>
          <w:bCs/>
          <w:color w:val="auto"/>
          <w:kern w:val="2"/>
          <w:sz w:val="32"/>
          <w:szCs w:val="32"/>
          <w:highlight w:val="none"/>
          <w:lang w:val="zh-CN" w:eastAsia="zh-CN" w:bidi="ar-SA"/>
        </w:rPr>
        <w:t>0.00元，占一般公共预算财政拨款总支出的0.00%</w:t>
      </w:r>
      <w:r>
        <w:rPr>
          <w:rFonts w:eastAsia="方正仿宋_GBK" w:cs="方正仿宋_GBK" w:hint="eastAsia"/>
          <w:bCs/>
          <w:color w:val="auto"/>
          <w:kern w:val="2"/>
          <w:sz w:val="32"/>
          <w:szCs w:val="32"/>
          <w:highlight w:val="none"/>
          <w:lang w:val="zh-CN"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年初无此项预算。</w:t>
      </w:r>
    </w:p>
    <w:p w14:paraId="751087A5">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23.其他（类）支出</w:t>
      </w:r>
      <w:r>
        <w:rPr>
          <w:rFonts w:ascii="Times New Roman" w:eastAsia="方正仿宋_GBK" w:hAnsi="Times New Roman" w:cs="方正仿宋_GBK" w:hint="eastAsia"/>
          <w:bCs/>
          <w:color w:val="auto"/>
          <w:kern w:val="2"/>
          <w:sz w:val="32"/>
          <w:szCs w:val="32"/>
          <w:highlight w:val="none"/>
          <w:lang w:val="zh-CN" w:eastAsia="zh-CN" w:bidi="ar-SA"/>
        </w:rPr>
        <w:t>0.00元，占一般公共预算财政拨款总支出的0.00%</w:t>
      </w:r>
      <w:r>
        <w:rPr>
          <w:rFonts w:eastAsia="方正仿宋_GBK" w:cs="方正仿宋_GBK" w:hint="eastAsia"/>
          <w:bCs/>
          <w:color w:val="auto"/>
          <w:kern w:val="2"/>
          <w:sz w:val="32"/>
          <w:szCs w:val="32"/>
          <w:highlight w:val="none"/>
          <w:lang w:val="zh-CN"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年初无此项预算。</w:t>
      </w:r>
    </w:p>
    <w:p w14:paraId="3C99EB9D">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24.债务还本（类）支出</w:t>
      </w:r>
      <w:r>
        <w:rPr>
          <w:rFonts w:ascii="Times New Roman" w:eastAsia="方正仿宋_GBK" w:hAnsi="Times New Roman" w:cs="方正仿宋_GBK" w:hint="eastAsia"/>
          <w:bCs/>
          <w:color w:val="auto"/>
          <w:kern w:val="2"/>
          <w:sz w:val="32"/>
          <w:szCs w:val="32"/>
          <w:highlight w:val="none"/>
          <w:lang w:val="zh-CN" w:eastAsia="zh-CN" w:bidi="ar-SA"/>
        </w:rPr>
        <w:t>0.00元，占一般公共预算财政拨款总支出的0.00%</w:t>
      </w:r>
      <w:r>
        <w:rPr>
          <w:rFonts w:eastAsia="方正仿宋_GBK" w:cs="方正仿宋_GBK" w:hint="eastAsia"/>
          <w:bCs/>
          <w:color w:val="auto"/>
          <w:kern w:val="2"/>
          <w:sz w:val="32"/>
          <w:szCs w:val="32"/>
          <w:highlight w:val="none"/>
          <w:lang w:val="zh-CN"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年初无此项预算。</w:t>
      </w:r>
    </w:p>
    <w:p w14:paraId="19DA8C63">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25.债务付息（类）支出</w:t>
      </w:r>
      <w:r>
        <w:rPr>
          <w:rFonts w:ascii="Times New Roman" w:eastAsia="方正仿宋_GBK" w:hAnsi="Times New Roman" w:cs="方正仿宋_GBK" w:hint="eastAsia"/>
          <w:bCs/>
          <w:color w:val="auto"/>
          <w:kern w:val="2"/>
          <w:sz w:val="32"/>
          <w:szCs w:val="32"/>
          <w:highlight w:val="none"/>
          <w:lang w:val="zh-CN" w:eastAsia="zh-CN" w:bidi="ar-SA"/>
        </w:rPr>
        <w:t>0.00元，占一般公共预算财政拨款总支出的0.00%</w:t>
      </w:r>
      <w:r>
        <w:rPr>
          <w:rFonts w:eastAsia="方正仿宋_GBK" w:cs="方正仿宋_GBK" w:hint="eastAsia"/>
          <w:bCs/>
          <w:color w:val="auto"/>
          <w:kern w:val="2"/>
          <w:sz w:val="32"/>
          <w:szCs w:val="32"/>
          <w:highlight w:val="none"/>
          <w:lang w:val="zh-CN"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年初无此项预算。</w:t>
      </w:r>
    </w:p>
    <w:p w14:paraId="46F4C5FB">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26.抗疫特别国债安排（类）支出</w:t>
      </w:r>
      <w:r>
        <w:rPr>
          <w:rFonts w:ascii="Times New Roman" w:eastAsia="方正仿宋_GBK" w:hAnsi="Times New Roman" w:cs="方正仿宋_GBK" w:hint="eastAsia"/>
          <w:bCs/>
          <w:color w:val="auto"/>
          <w:kern w:val="2"/>
          <w:sz w:val="32"/>
          <w:szCs w:val="32"/>
          <w:highlight w:val="none"/>
          <w:lang w:val="zh-CN" w:eastAsia="zh-CN" w:bidi="ar-SA"/>
        </w:rPr>
        <w:t>0.00元，占一般公共预算财政拨款总支出的0.00%</w:t>
      </w:r>
      <w:r>
        <w:rPr>
          <w:rFonts w:eastAsia="方正仿宋_GBK" w:cs="方正仿宋_GBK" w:hint="eastAsia"/>
          <w:bCs/>
          <w:color w:val="auto"/>
          <w:kern w:val="2"/>
          <w:sz w:val="32"/>
          <w:szCs w:val="32"/>
          <w:highlight w:val="none"/>
          <w:lang w:val="zh-CN"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年初无此项预算。</w:t>
      </w:r>
    </w:p>
    <w:p w14:paraId="1E55072C">
      <w:pPr>
        <w:keepNext w:val="0"/>
        <w:keepLines w:val="0"/>
        <w:pageBreakBefore w:val="0"/>
        <w:widowControl/>
        <w:numPr>
          <w:ilvl w:val="0"/>
          <w:numId w:val="1"/>
        </w:numPr>
        <w:kinsoku/>
        <w:wordWrap/>
        <w:overflowPunct/>
        <w:topLinePunct w:val="0"/>
        <w:autoSpaceDE/>
        <w:autoSpaceDN/>
        <w:bidi w:val="0"/>
        <w:snapToGrid w:val="0"/>
        <w:spacing w:before="100" w:after="100" w:line="590" w:lineRule="exact"/>
        <w:ind w:firstLine="640" w:firstLineChars="200"/>
        <w:jc w:val="left"/>
        <w:textAlignment w:val="auto"/>
        <w:outlineLvl w:val="1"/>
        <w:rPr>
          <w:rFonts w:ascii="方正黑体_GBK" w:eastAsia="方正黑体_GBK" w:hAnsi="方正黑体_GBK" w:cs="方正黑体_GBK" w:hint="eastAsia"/>
          <w:sz w:val="32"/>
          <w:szCs w:val="32"/>
          <w:highlight w:val="none"/>
        </w:rPr>
      </w:pPr>
      <w:r>
        <w:rPr>
          <w:rFonts w:ascii="方正黑体_GBK" w:eastAsia="方正黑体_GBK" w:hAnsi="方正黑体_GBK" w:cs="方正黑体_GBK" w:hint="eastAsia"/>
          <w:sz w:val="32"/>
          <w:szCs w:val="32"/>
          <w:highlight w:val="none"/>
        </w:rPr>
        <w:t>财政拨款“三公”经费支出决算情况说明</w:t>
      </w:r>
    </w:p>
    <w:p w14:paraId="29F40A28">
      <w:pPr>
        <w:keepNext w:val="0"/>
        <w:keepLines w:val="0"/>
        <w:pageBreakBefore w:val="0"/>
        <w:widowControl/>
        <w:kinsoku/>
        <w:wordWrap/>
        <w:overflowPunct/>
        <w:topLinePunct w:val="0"/>
        <w:autoSpaceDE/>
        <w:autoSpaceDN/>
        <w:bidi w:val="0"/>
        <w:snapToGrid w:val="0"/>
        <w:spacing w:before="100" w:after="100" w:line="590" w:lineRule="exact"/>
        <w:ind w:firstLine="640" w:firstLineChars="200"/>
        <w:jc w:val="left"/>
        <w:textAlignment w:val="auto"/>
        <w:outlineLvl w:val="2"/>
        <w:rPr>
          <w:rFonts w:ascii="方正楷体_GBK" w:eastAsia="方正楷体_GBK" w:hAnsi="方正楷体_GBK" w:cs="方正楷体_GBK" w:hint="eastAsia"/>
          <w:sz w:val="32"/>
          <w:szCs w:val="32"/>
          <w:highlight w:val="none"/>
          <w:lang w:val="en-US" w:eastAsia="zh-CN"/>
        </w:rPr>
      </w:pPr>
      <w:r>
        <w:rPr>
          <w:rFonts w:ascii="方正楷体_GBK" w:eastAsia="方正楷体_GBK" w:hAnsi="方正楷体_GBK" w:cs="方正楷体_GBK" w:hint="eastAsia"/>
          <w:sz w:val="32"/>
          <w:szCs w:val="32"/>
          <w:highlight w:val="none"/>
          <w:lang w:val="en-US" w:eastAsia="zh-CN"/>
        </w:rPr>
        <w:t>（一）总体情况</w:t>
      </w:r>
    </w:p>
    <w:p w14:paraId="482EF446">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en-US" w:eastAsia="zh-CN" w:bidi="ar-SA"/>
        </w:rPr>
        <w:t>2024</w:t>
      </w:r>
      <w:r>
        <w:rPr>
          <w:rFonts w:ascii="Times New Roman" w:eastAsia="方正仿宋_GBK" w:hAnsi="Times New Roman" w:cs="方正仿宋_GBK" w:hint="eastAsia"/>
          <w:bCs/>
          <w:color w:val="auto"/>
          <w:kern w:val="2"/>
          <w:sz w:val="32"/>
          <w:szCs w:val="32"/>
          <w:highlight w:val="none"/>
          <w:lang w:val="zh-CN" w:eastAsia="zh-CN" w:bidi="ar-SA"/>
        </w:rPr>
        <w:t>年度财政拨款“三公”经费支出决算中，财政拨款“三公”经费支出年初预算为</w:t>
      </w:r>
      <w:r>
        <w:rPr>
          <w:rFonts w:ascii="Times New Roman" w:eastAsia="方正仿宋_GBK" w:hAnsi="Times New Roman" w:cs="方正仿宋_GBK" w:hint="eastAsia"/>
          <w:bCs/>
          <w:color w:val="auto"/>
          <w:kern w:val="2"/>
          <w:sz w:val="32"/>
          <w:szCs w:val="32"/>
          <w:highlight w:val="none"/>
          <w:lang w:val="en-US" w:eastAsia="zh-CN" w:bidi="ar-SA"/>
        </w:rPr>
        <w:t>25</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en-US" w:eastAsia="zh-CN" w:bidi="ar-SA"/>
        </w:rPr>
        <w:t>000.00</w:t>
      </w:r>
      <w:r>
        <w:rPr>
          <w:rFonts w:ascii="Times New Roman" w:eastAsia="方正仿宋_GBK" w:hAnsi="Times New Roman" w:cs="方正仿宋_GBK" w:hint="eastAsia"/>
          <w:bCs/>
          <w:color w:val="auto"/>
          <w:kern w:val="2"/>
          <w:sz w:val="32"/>
          <w:szCs w:val="32"/>
          <w:highlight w:val="none"/>
          <w:lang w:val="zh-CN" w:eastAsia="zh-CN" w:bidi="ar-SA"/>
        </w:rPr>
        <w:t>元，决算为16</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000.00元，完成年初预算的64.00%；支出决算较上年增加969.24</w:t>
      </w:r>
      <w:r>
        <w:rPr>
          <w:rFonts w:ascii="Times New Roman" w:eastAsia="方正仿宋_GBK" w:hAnsi="Times New Roman" w:cs="方正仿宋_GBK" w:hint="eastAsia"/>
          <w:bCs/>
          <w:color w:val="auto"/>
          <w:kern w:val="2"/>
          <w:sz w:val="32"/>
          <w:szCs w:val="32"/>
          <w:highlight w:val="none"/>
          <w:lang w:val="en-US" w:eastAsia="zh-CN" w:bidi="ar-SA"/>
        </w:rPr>
        <w:t>元，增长</w:t>
      </w:r>
      <w:r>
        <w:rPr>
          <w:rFonts w:ascii="Times New Roman" w:eastAsia="方正仿宋_GBK" w:hAnsi="Times New Roman" w:cs="方正仿宋_GBK" w:hint="eastAsia"/>
          <w:bCs/>
          <w:color w:val="auto"/>
          <w:kern w:val="2"/>
          <w:sz w:val="32"/>
          <w:szCs w:val="32"/>
          <w:highlight w:val="none"/>
          <w:lang w:val="zh-CN" w:eastAsia="zh-CN" w:bidi="ar-SA"/>
        </w:rPr>
        <w:t>6.45</w:t>
      </w:r>
      <w:r>
        <w:rPr>
          <w:rFonts w:ascii="Times New Roman" w:eastAsia="方正仿宋_GBK" w:hAnsi="Times New Roman"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w:t>
      </w:r>
    </w:p>
    <w:p w14:paraId="6422FD31">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zh-CN" w:eastAsia="zh-CN" w:bidi="ar-SA"/>
        </w:rPr>
      </w:pPr>
      <w:r>
        <w:rPr>
          <w:rFonts w:ascii="Times New Roman" w:eastAsia="方正仿宋_GBK" w:hAnsi="Times New Roman" w:cs="方正仿宋_GBK" w:hint="eastAsia"/>
          <w:bCs/>
          <w:color w:val="auto"/>
          <w:kern w:val="2"/>
          <w:sz w:val="32"/>
          <w:szCs w:val="32"/>
          <w:highlight w:val="none"/>
          <w:lang w:val="zh-CN" w:eastAsia="zh-CN" w:bidi="ar-SA"/>
        </w:rPr>
        <w:t>因公出国（境）费支出年初预算为0.00元，决算为0.00元，占财政拨款“三公”经费总支出决算的0.00%；公务用车购置费支出年初预算为0.00元，决算为0.00元，占财政拨款“三公”经费总支出决算的0.00%；公务用车运行维护费支出年初预算为25</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000.00元，决算为16</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000.00元，占财政拨款“三公”经费总支出决算的100.00%，完成年初预算的64.00</w:t>
      </w:r>
      <w:r>
        <w:rPr>
          <w:rFonts w:ascii="Times New Roman" w:eastAsia="方正仿宋_GBK" w:hAnsi="Times New Roman"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公务接待费支出年初预算为0.00元，决算为0.00元，占财政拨款“三公”经费总支出决算的0.00%。</w:t>
      </w:r>
    </w:p>
    <w:p w14:paraId="291C601C">
      <w:pPr>
        <w:keepNext w:val="0"/>
        <w:keepLines w:val="0"/>
        <w:pageBreakBefore w:val="0"/>
        <w:kinsoku/>
        <w:wordWrap/>
        <w:overflowPunct/>
        <w:topLinePunct w:val="0"/>
        <w:autoSpaceDE/>
        <w:autoSpaceDN/>
        <w:bidi w:val="0"/>
        <w:spacing w:line="590" w:lineRule="exact"/>
        <w:ind w:firstLine="640" w:firstLineChars="200"/>
        <w:textAlignment w:val="auto"/>
        <w:rPr>
          <w:rFonts w:ascii="仿宋_GB2312" w:eastAsia="仿宋_GB2312" w:hAnsi="宋体" w:cs="Arial" w:hint="eastAsia"/>
          <w:kern w:val="0"/>
          <w:sz w:val="30"/>
          <w:szCs w:val="30"/>
          <w:highlight w:val="none"/>
          <w:lang w:eastAsia="zh-CN"/>
        </w:rPr>
      </w:pPr>
      <w:r>
        <w:rPr>
          <w:rFonts w:ascii="Times New Roman" w:eastAsia="方正仿宋_GBK" w:hAnsi="Times New Roman" w:cs="方正仿宋_GBK" w:hint="eastAsia"/>
          <w:bCs/>
          <w:color w:val="auto"/>
          <w:kern w:val="2"/>
          <w:sz w:val="32"/>
          <w:szCs w:val="32"/>
          <w:highlight w:val="none"/>
          <w:lang w:val="zh-CN" w:eastAsia="zh-CN" w:bidi="ar-SA"/>
        </w:rPr>
        <w:t>因公出国（境）费支出决算较上年增加</w:t>
      </w:r>
      <w:r>
        <w:rPr>
          <w:rFonts w:ascii="Times New Roman" w:eastAsia="方正仿宋_GBK" w:hAnsi="Times New Roman" w:cs="方正仿宋_GBK" w:hint="eastAsia"/>
          <w:bCs/>
          <w:color w:val="auto"/>
          <w:kern w:val="2"/>
          <w:sz w:val="32"/>
          <w:szCs w:val="32"/>
          <w:highlight w:val="none"/>
          <w:lang w:val="en-US" w:eastAsia="zh-CN" w:bidi="ar-SA"/>
        </w:rPr>
        <w:t>/减少</w:t>
      </w:r>
      <w:r>
        <w:rPr>
          <w:rFonts w:ascii="Times New Roman" w:eastAsia="方正仿宋_GBK" w:hAnsi="Times New Roman" w:cs="方正仿宋_GBK" w:hint="eastAsia"/>
          <w:bCs/>
          <w:color w:val="auto"/>
          <w:kern w:val="2"/>
          <w:sz w:val="32"/>
          <w:szCs w:val="32"/>
          <w:highlight w:val="none"/>
          <w:lang w:val="zh-CN" w:eastAsia="zh-CN" w:bidi="ar-SA"/>
        </w:rPr>
        <w:t>0.00</w:t>
      </w:r>
      <w:r>
        <w:rPr>
          <w:rFonts w:ascii="Times New Roman" w:eastAsia="方正仿宋_GBK" w:hAnsi="Times New Roman" w:cs="方正仿宋_GBK" w:hint="eastAsia"/>
          <w:bCs/>
          <w:color w:val="auto"/>
          <w:kern w:val="2"/>
          <w:sz w:val="32"/>
          <w:szCs w:val="32"/>
          <w:highlight w:val="none"/>
          <w:lang w:val="en-US" w:eastAsia="zh-CN" w:bidi="ar-SA"/>
        </w:rPr>
        <w:t>元，上年无此项支出</w:t>
      </w:r>
      <w:r>
        <w:rPr>
          <w:rFonts w:ascii="Times New Roman" w:eastAsia="方正仿宋_GBK" w:hAnsi="Times New Roman" w:cs="方正仿宋_GBK" w:hint="eastAsia"/>
          <w:bCs/>
          <w:color w:val="auto"/>
          <w:kern w:val="2"/>
          <w:sz w:val="32"/>
          <w:szCs w:val="32"/>
          <w:highlight w:val="none"/>
          <w:lang w:val="zh-CN" w:eastAsia="zh-CN" w:bidi="ar-SA"/>
        </w:rPr>
        <w:t>；公务用车购置费支出决算较上年增加</w:t>
      </w:r>
      <w:r>
        <w:rPr>
          <w:rFonts w:ascii="Times New Roman" w:eastAsia="方正仿宋_GBK" w:hAnsi="Times New Roman" w:cs="方正仿宋_GBK" w:hint="eastAsia"/>
          <w:bCs/>
          <w:color w:val="auto"/>
          <w:kern w:val="2"/>
          <w:sz w:val="32"/>
          <w:szCs w:val="32"/>
          <w:highlight w:val="none"/>
          <w:lang w:val="en-US" w:eastAsia="zh-CN" w:bidi="ar-SA"/>
        </w:rPr>
        <w:t>/减少</w:t>
      </w:r>
      <w:r>
        <w:rPr>
          <w:rFonts w:ascii="Times New Roman" w:eastAsia="方正仿宋_GBK" w:hAnsi="Times New Roman" w:cs="方正仿宋_GBK" w:hint="eastAsia"/>
          <w:bCs/>
          <w:color w:val="auto"/>
          <w:kern w:val="2"/>
          <w:sz w:val="32"/>
          <w:szCs w:val="32"/>
          <w:highlight w:val="none"/>
          <w:lang w:val="zh-CN" w:eastAsia="zh-CN" w:bidi="ar-SA"/>
        </w:rPr>
        <w:t>0.00</w:t>
      </w:r>
      <w:r>
        <w:rPr>
          <w:rFonts w:ascii="Times New Roman" w:eastAsia="方正仿宋_GBK" w:hAnsi="Times New Roman" w:cs="方正仿宋_GBK" w:hint="eastAsia"/>
          <w:bCs/>
          <w:color w:val="auto"/>
          <w:kern w:val="2"/>
          <w:sz w:val="32"/>
          <w:szCs w:val="32"/>
          <w:highlight w:val="none"/>
          <w:lang w:val="en-US" w:eastAsia="zh-CN" w:bidi="ar-SA"/>
        </w:rPr>
        <w:t>元，上年无此项支出</w:t>
      </w:r>
      <w:r>
        <w:rPr>
          <w:rFonts w:ascii="Times New Roman" w:eastAsia="方正仿宋_GBK" w:hAnsi="Times New Roman" w:cs="方正仿宋_GBK" w:hint="eastAsia"/>
          <w:bCs/>
          <w:color w:val="auto"/>
          <w:kern w:val="2"/>
          <w:sz w:val="32"/>
          <w:szCs w:val="32"/>
          <w:highlight w:val="none"/>
          <w:lang w:val="zh-CN" w:eastAsia="zh-CN" w:bidi="ar-SA"/>
        </w:rPr>
        <w:t>；公务用车运行维护费支出决算较上年增加969.24</w:t>
      </w:r>
      <w:r>
        <w:rPr>
          <w:rFonts w:ascii="Times New Roman" w:eastAsia="方正仿宋_GBK" w:hAnsi="Times New Roman" w:cs="方正仿宋_GBK" w:hint="eastAsia"/>
          <w:bCs/>
          <w:color w:val="auto"/>
          <w:kern w:val="2"/>
          <w:sz w:val="32"/>
          <w:szCs w:val="32"/>
          <w:highlight w:val="none"/>
          <w:lang w:val="en-US" w:eastAsia="zh-CN" w:bidi="ar-SA"/>
        </w:rPr>
        <w:t>元，增长</w:t>
      </w:r>
      <w:r>
        <w:rPr>
          <w:rFonts w:ascii="Times New Roman" w:eastAsia="方正仿宋_GBK" w:hAnsi="Times New Roman" w:cs="方正仿宋_GBK" w:hint="eastAsia"/>
          <w:bCs/>
          <w:color w:val="auto"/>
          <w:kern w:val="2"/>
          <w:sz w:val="32"/>
          <w:szCs w:val="32"/>
          <w:highlight w:val="none"/>
          <w:lang w:val="zh-CN" w:eastAsia="zh-CN" w:bidi="ar-SA"/>
        </w:rPr>
        <w:t>6.45</w:t>
      </w:r>
      <w:r>
        <w:rPr>
          <w:rFonts w:ascii="Times New Roman" w:eastAsia="方正仿宋_GBK" w:hAnsi="Times New Roman"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；公务接待费支出决算较上年增加</w:t>
      </w:r>
      <w:r>
        <w:rPr>
          <w:rFonts w:ascii="Times New Roman" w:eastAsia="方正仿宋_GBK" w:hAnsi="Times New Roman" w:cs="方正仿宋_GBK" w:hint="eastAsia"/>
          <w:bCs/>
          <w:color w:val="auto"/>
          <w:kern w:val="2"/>
          <w:sz w:val="32"/>
          <w:szCs w:val="32"/>
          <w:highlight w:val="none"/>
          <w:lang w:val="en-US" w:eastAsia="zh-CN" w:bidi="ar-SA"/>
        </w:rPr>
        <w:t>/减少</w:t>
      </w:r>
      <w:r>
        <w:rPr>
          <w:rFonts w:ascii="Times New Roman" w:eastAsia="方正仿宋_GBK" w:hAnsi="Times New Roman" w:cs="方正仿宋_GBK" w:hint="eastAsia"/>
          <w:bCs/>
          <w:color w:val="auto"/>
          <w:kern w:val="2"/>
          <w:sz w:val="32"/>
          <w:szCs w:val="32"/>
          <w:highlight w:val="none"/>
          <w:lang w:val="zh-CN" w:eastAsia="zh-CN" w:bidi="ar-SA"/>
        </w:rPr>
        <w:t>0.00</w:t>
      </w:r>
      <w:r>
        <w:rPr>
          <w:rFonts w:ascii="Times New Roman" w:eastAsia="方正仿宋_GBK" w:hAnsi="Times New Roman" w:cs="方正仿宋_GBK" w:hint="eastAsia"/>
          <w:bCs/>
          <w:color w:val="auto"/>
          <w:kern w:val="2"/>
          <w:sz w:val="32"/>
          <w:szCs w:val="32"/>
          <w:highlight w:val="none"/>
          <w:lang w:val="en-US" w:eastAsia="zh-CN" w:bidi="ar-SA"/>
        </w:rPr>
        <w:t>元，上年无此项支出</w:t>
      </w:r>
      <w:r>
        <w:rPr>
          <w:rFonts w:ascii="Times New Roman" w:eastAsia="方正仿宋_GBK" w:hAnsi="Times New Roman" w:cs="方正仿宋_GBK" w:hint="eastAsia"/>
          <w:bCs/>
          <w:color w:val="auto"/>
          <w:kern w:val="2"/>
          <w:sz w:val="32"/>
          <w:szCs w:val="32"/>
          <w:highlight w:val="none"/>
          <w:lang w:val="zh-CN" w:eastAsia="zh-CN" w:bidi="ar-SA"/>
        </w:rPr>
        <w:t>；具体是国内接待费支出决算0.00元（其中：外事接待费支出决算0.00元），较上年增加</w:t>
      </w:r>
      <w:r>
        <w:rPr>
          <w:rFonts w:ascii="Times New Roman" w:eastAsia="方正仿宋_GBK" w:hAnsi="Times New Roman" w:cs="方正仿宋_GBK" w:hint="eastAsia"/>
          <w:bCs/>
          <w:color w:val="auto"/>
          <w:kern w:val="2"/>
          <w:sz w:val="32"/>
          <w:szCs w:val="32"/>
          <w:highlight w:val="none"/>
          <w:lang w:val="en-US" w:eastAsia="zh-CN" w:bidi="ar-SA"/>
        </w:rPr>
        <w:t>/减少</w:t>
      </w:r>
      <w:r>
        <w:rPr>
          <w:rFonts w:ascii="Times New Roman" w:eastAsia="方正仿宋_GBK" w:hAnsi="Times New Roman" w:cs="方正仿宋_GBK" w:hint="eastAsia"/>
          <w:bCs/>
          <w:color w:val="auto"/>
          <w:kern w:val="2"/>
          <w:sz w:val="32"/>
          <w:szCs w:val="32"/>
          <w:highlight w:val="none"/>
          <w:lang w:val="zh-CN" w:eastAsia="zh-CN" w:bidi="ar-SA"/>
        </w:rPr>
        <w:t>0.00</w:t>
      </w:r>
      <w:r>
        <w:rPr>
          <w:rFonts w:ascii="Times New Roman" w:eastAsia="方正仿宋_GBK" w:hAnsi="Times New Roman" w:cs="方正仿宋_GBK" w:hint="eastAsia"/>
          <w:bCs/>
          <w:color w:val="auto"/>
          <w:kern w:val="2"/>
          <w:sz w:val="32"/>
          <w:szCs w:val="32"/>
          <w:highlight w:val="none"/>
          <w:lang w:val="en-US" w:eastAsia="zh-CN" w:bidi="ar-SA"/>
        </w:rPr>
        <w:t>元，上年无此项支出；</w:t>
      </w:r>
      <w:r>
        <w:rPr>
          <w:rFonts w:ascii="Times New Roman" w:eastAsia="方正仿宋_GBK" w:hAnsi="Times New Roman" w:cs="方正仿宋_GBK" w:hint="eastAsia"/>
          <w:bCs/>
          <w:color w:val="auto"/>
          <w:kern w:val="2"/>
          <w:sz w:val="32"/>
          <w:szCs w:val="32"/>
          <w:highlight w:val="none"/>
          <w:lang w:val="zh-CN" w:eastAsia="zh-CN" w:bidi="ar-SA"/>
        </w:rPr>
        <w:t>国（境）外接待费支出决算0.00元较上年增加</w:t>
      </w:r>
      <w:r>
        <w:rPr>
          <w:rFonts w:ascii="Times New Roman" w:eastAsia="方正仿宋_GBK" w:hAnsi="Times New Roman" w:cs="方正仿宋_GBK" w:hint="eastAsia"/>
          <w:bCs/>
          <w:color w:val="auto"/>
          <w:kern w:val="2"/>
          <w:sz w:val="32"/>
          <w:szCs w:val="32"/>
          <w:highlight w:val="none"/>
          <w:lang w:val="en-US" w:eastAsia="zh-CN" w:bidi="ar-SA"/>
        </w:rPr>
        <w:t>/减少</w:t>
      </w:r>
      <w:r>
        <w:rPr>
          <w:rFonts w:ascii="Times New Roman" w:eastAsia="方正仿宋_GBK" w:hAnsi="Times New Roman" w:cs="方正仿宋_GBK" w:hint="eastAsia"/>
          <w:bCs/>
          <w:color w:val="auto"/>
          <w:kern w:val="2"/>
          <w:sz w:val="32"/>
          <w:szCs w:val="32"/>
          <w:highlight w:val="none"/>
          <w:lang w:val="zh-CN" w:eastAsia="zh-CN" w:bidi="ar-SA"/>
        </w:rPr>
        <w:t>0.00</w:t>
      </w:r>
      <w:r>
        <w:rPr>
          <w:rFonts w:ascii="Times New Roman" w:eastAsia="方正仿宋_GBK" w:hAnsi="Times New Roman" w:cs="方正仿宋_GBK" w:hint="eastAsia"/>
          <w:bCs/>
          <w:color w:val="auto"/>
          <w:kern w:val="2"/>
          <w:sz w:val="32"/>
          <w:szCs w:val="32"/>
          <w:highlight w:val="none"/>
          <w:lang w:val="en-US" w:eastAsia="zh-CN" w:bidi="ar-SA"/>
        </w:rPr>
        <w:t>元，上年无此项支出</w:t>
      </w:r>
      <w:r>
        <w:rPr>
          <w:rFonts w:ascii="Times New Roman" w:eastAsia="方正仿宋_GBK" w:hAnsi="Times New Roman" w:cs="方正仿宋_GBK" w:hint="eastAsia"/>
          <w:bCs/>
          <w:color w:val="auto"/>
          <w:kern w:val="2"/>
          <w:sz w:val="32"/>
          <w:szCs w:val="32"/>
          <w:highlight w:val="none"/>
          <w:lang w:val="zh-CN" w:eastAsia="zh-CN" w:bidi="ar-SA"/>
        </w:rPr>
        <w:t>。</w:t>
      </w:r>
    </w:p>
    <w:p w14:paraId="60E9B1E3">
      <w:pPr>
        <w:keepNext w:val="0"/>
        <w:keepLines w:val="0"/>
        <w:pageBreakBefore w:val="0"/>
        <w:widowControl/>
        <w:kinsoku/>
        <w:wordWrap/>
        <w:overflowPunct/>
        <w:topLinePunct w:val="0"/>
        <w:autoSpaceDE/>
        <w:autoSpaceDN/>
        <w:bidi w:val="0"/>
        <w:snapToGrid w:val="0"/>
        <w:spacing w:before="100" w:after="100" w:line="590" w:lineRule="exact"/>
        <w:ind w:firstLine="640" w:firstLineChars="200"/>
        <w:jc w:val="left"/>
        <w:textAlignment w:val="auto"/>
        <w:outlineLvl w:val="2"/>
        <w:rPr>
          <w:rFonts w:ascii="方正楷体_GBK" w:eastAsia="方正楷体_GBK" w:hAnsi="方正楷体_GBK" w:cs="方正楷体_GBK" w:hint="eastAsia"/>
          <w:sz w:val="32"/>
          <w:szCs w:val="32"/>
          <w:highlight w:val="none"/>
          <w:lang w:val="en-US" w:eastAsia="zh-CN"/>
        </w:rPr>
      </w:pPr>
      <w:r>
        <w:rPr>
          <w:rFonts w:ascii="方正楷体_GBK" w:eastAsia="方正楷体_GBK" w:hAnsi="方正楷体_GBK" w:cs="方正楷体_GBK" w:hint="eastAsia"/>
          <w:sz w:val="32"/>
          <w:szCs w:val="32"/>
          <w:highlight w:val="none"/>
          <w:lang w:val="en-US" w:eastAsia="zh-CN"/>
        </w:rPr>
        <w:t>（二）一般公共预算财政拨款“三公”经费支出决算情况说明</w:t>
      </w:r>
    </w:p>
    <w:p w14:paraId="7AFAF88B">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en-US" w:eastAsia="zh-CN" w:bidi="ar-SA"/>
        </w:rPr>
      </w:pPr>
      <w:r>
        <w:rPr>
          <w:rFonts w:ascii="Times New Roman" w:eastAsia="方正仿宋_GBK" w:hAnsi="Times New Roman" w:cs="方正仿宋_GBK" w:hint="eastAsia"/>
          <w:bCs/>
          <w:color w:val="auto"/>
          <w:kern w:val="2"/>
          <w:sz w:val="32"/>
          <w:szCs w:val="32"/>
          <w:highlight w:val="none"/>
          <w:lang w:val="en-US" w:eastAsia="zh-CN" w:bidi="ar-SA"/>
        </w:rPr>
        <w:t>2024年度一般公共预算财政拨款“三公”经费支出年初预算为</w:t>
      </w:r>
      <w:r>
        <w:rPr>
          <w:rFonts w:ascii="Times New Roman" w:eastAsia="方正仿宋_GBK" w:hAnsi="Times New Roman" w:cs="方正仿宋_GBK" w:hint="eastAsia"/>
          <w:bCs/>
          <w:color w:val="auto"/>
          <w:kern w:val="2"/>
          <w:sz w:val="32"/>
          <w:szCs w:val="32"/>
          <w:highlight w:val="none"/>
          <w:lang w:val="zh-CN" w:eastAsia="zh-CN" w:bidi="ar-SA"/>
        </w:rPr>
        <w:t>25</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000.00</w:t>
      </w:r>
      <w:r>
        <w:rPr>
          <w:rFonts w:ascii="Times New Roman" w:eastAsia="方正仿宋_GBK" w:hAnsi="Times New Roman" w:cs="方正仿宋_GBK" w:hint="eastAsia"/>
          <w:bCs/>
          <w:color w:val="auto"/>
          <w:kern w:val="2"/>
          <w:sz w:val="32"/>
          <w:szCs w:val="32"/>
          <w:highlight w:val="none"/>
          <w:lang w:val="en-US" w:eastAsia="zh-CN" w:bidi="ar-SA"/>
        </w:rPr>
        <w:t>元，支出决算为</w:t>
      </w:r>
      <w:r>
        <w:rPr>
          <w:rFonts w:ascii="Times New Roman" w:eastAsia="方正仿宋_GBK" w:hAnsi="Times New Roman" w:cs="方正仿宋_GBK" w:hint="eastAsia"/>
          <w:bCs/>
          <w:color w:val="auto"/>
          <w:kern w:val="2"/>
          <w:sz w:val="32"/>
          <w:szCs w:val="32"/>
          <w:highlight w:val="none"/>
          <w:lang w:val="zh-CN" w:eastAsia="zh-CN" w:bidi="ar-SA"/>
        </w:rPr>
        <w:t>16</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000.00</w:t>
      </w:r>
      <w:r>
        <w:rPr>
          <w:rFonts w:ascii="Times New Roman" w:eastAsia="方正仿宋_GBK" w:hAnsi="Times New Roman" w:cs="方正仿宋_GBK" w:hint="eastAsia"/>
          <w:bCs/>
          <w:color w:val="auto"/>
          <w:kern w:val="2"/>
          <w:sz w:val="32"/>
          <w:szCs w:val="32"/>
          <w:highlight w:val="none"/>
          <w:lang w:val="en-US" w:eastAsia="zh-CN" w:bidi="ar-SA"/>
        </w:rPr>
        <w:t>元，完成年初预算的</w:t>
      </w:r>
      <w:r>
        <w:rPr>
          <w:rFonts w:ascii="Times New Roman" w:eastAsia="方正仿宋_GBK" w:hAnsi="Times New Roman" w:cs="方正仿宋_GBK" w:hint="eastAsia"/>
          <w:bCs/>
          <w:color w:val="auto"/>
          <w:kern w:val="2"/>
          <w:sz w:val="32"/>
          <w:szCs w:val="32"/>
          <w:highlight w:val="none"/>
          <w:lang w:val="zh-CN" w:eastAsia="zh-CN" w:bidi="ar-SA"/>
        </w:rPr>
        <w:t>64.00</w:t>
      </w:r>
      <w:r>
        <w:rPr>
          <w:rFonts w:ascii="Times New Roman" w:eastAsia="方正仿宋_GBK" w:hAnsi="Times New Roman" w:cs="方正仿宋_GBK" w:hint="eastAsia"/>
          <w:bCs/>
          <w:color w:val="auto"/>
          <w:kern w:val="2"/>
          <w:sz w:val="32"/>
          <w:szCs w:val="32"/>
          <w:highlight w:val="none"/>
          <w:lang w:val="en-US" w:eastAsia="zh-CN" w:bidi="ar-SA"/>
        </w:rPr>
        <w:t>%，支出决算较上年增加</w:t>
      </w:r>
      <w:r>
        <w:rPr>
          <w:rFonts w:ascii="Times New Roman" w:eastAsia="方正仿宋_GBK" w:hAnsi="Times New Roman" w:cs="方正仿宋_GBK" w:hint="eastAsia"/>
          <w:bCs/>
          <w:color w:val="auto"/>
          <w:kern w:val="2"/>
          <w:sz w:val="32"/>
          <w:szCs w:val="32"/>
          <w:highlight w:val="none"/>
          <w:lang w:val="zh-CN" w:eastAsia="zh-CN" w:bidi="ar-SA"/>
        </w:rPr>
        <w:t>969.24</w:t>
      </w:r>
      <w:r>
        <w:rPr>
          <w:rFonts w:ascii="Times New Roman" w:eastAsia="方正仿宋_GBK" w:hAnsi="Times New Roman" w:cs="方正仿宋_GBK" w:hint="eastAsia"/>
          <w:bCs/>
          <w:color w:val="auto"/>
          <w:kern w:val="2"/>
          <w:sz w:val="32"/>
          <w:szCs w:val="32"/>
          <w:highlight w:val="none"/>
          <w:lang w:val="en-US" w:eastAsia="zh-CN" w:bidi="ar-SA"/>
        </w:rPr>
        <w:t>元，增长</w:t>
      </w:r>
      <w:r>
        <w:rPr>
          <w:rFonts w:ascii="Times New Roman" w:eastAsia="方正仿宋_GBK" w:hAnsi="Times New Roman" w:cs="方正仿宋_GBK" w:hint="eastAsia"/>
          <w:bCs/>
          <w:color w:val="auto"/>
          <w:kern w:val="2"/>
          <w:sz w:val="32"/>
          <w:szCs w:val="32"/>
          <w:highlight w:val="none"/>
          <w:lang w:val="zh-CN" w:eastAsia="zh-CN" w:bidi="ar-SA"/>
        </w:rPr>
        <w:t>6.45</w:t>
      </w:r>
      <w:r>
        <w:rPr>
          <w:rFonts w:ascii="Times New Roman" w:eastAsia="方正仿宋_GBK" w:hAnsi="Times New Roman" w:cs="方正仿宋_GBK" w:hint="eastAsia"/>
          <w:bCs/>
          <w:color w:val="auto"/>
          <w:kern w:val="2"/>
          <w:sz w:val="32"/>
          <w:szCs w:val="32"/>
          <w:highlight w:val="none"/>
          <w:lang w:val="en-US" w:eastAsia="zh-CN" w:bidi="ar-SA"/>
        </w:rPr>
        <w:t>%。</w:t>
      </w:r>
    </w:p>
    <w:p w14:paraId="4FF59123">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en-US" w:eastAsia="zh-CN" w:bidi="ar-SA"/>
        </w:rPr>
      </w:pPr>
      <w:r>
        <w:rPr>
          <w:rFonts w:ascii="Times New Roman" w:eastAsia="方正仿宋_GBK" w:hAnsi="Times New Roman" w:cs="方正仿宋_GBK" w:hint="eastAsia"/>
          <w:bCs/>
          <w:color w:val="auto"/>
          <w:kern w:val="2"/>
          <w:sz w:val="32"/>
          <w:szCs w:val="32"/>
          <w:highlight w:val="none"/>
          <w:lang w:val="en-US" w:eastAsia="zh-CN" w:bidi="ar-SA"/>
        </w:rPr>
        <w:t>一般公共预算财政拨款“三公”经费支出中：因公出国（境）费支出年初预算为</w:t>
      </w:r>
      <w:r>
        <w:rPr>
          <w:rFonts w:ascii="Times New Roman" w:eastAsia="方正仿宋_GBK" w:hAnsi="Times New Roman" w:cs="方正仿宋_GBK" w:hint="eastAsia"/>
          <w:bCs/>
          <w:color w:val="auto"/>
          <w:kern w:val="2"/>
          <w:sz w:val="32"/>
          <w:szCs w:val="32"/>
          <w:highlight w:val="none"/>
          <w:lang w:val="zh-CN" w:eastAsia="zh-CN" w:bidi="ar-SA"/>
        </w:rPr>
        <w:t>0.00</w:t>
      </w:r>
      <w:r>
        <w:rPr>
          <w:rFonts w:ascii="Times New Roman" w:eastAsia="方正仿宋_GBK" w:hAnsi="Times New Roman" w:cs="方正仿宋_GBK" w:hint="eastAsia"/>
          <w:bCs/>
          <w:color w:val="auto"/>
          <w:kern w:val="2"/>
          <w:sz w:val="32"/>
          <w:szCs w:val="32"/>
          <w:highlight w:val="none"/>
          <w:lang w:val="en-US" w:eastAsia="zh-CN" w:bidi="ar-SA"/>
        </w:rPr>
        <w:t>元，决算为</w:t>
      </w:r>
      <w:r>
        <w:rPr>
          <w:rFonts w:ascii="Times New Roman" w:eastAsia="方正仿宋_GBK" w:hAnsi="Times New Roman" w:cs="方正仿宋_GBK" w:hint="eastAsia"/>
          <w:bCs/>
          <w:color w:val="auto"/>
          <w:kern w:val="2"/>
          <w:sz w:val="32"/>
          <w:szCs w:val="32"/>
          <w:highlight w:val="none"/>
          <w:lang w:val="zh-CN" w:eastAsia="zh-CN" w:bidi="ar-SA"/>
        </w:rPr>
        <w:t>0.00</w:t>
      </w:r>
      <w:r>
        <w:rPr>
          <w:rFonts w:ascii="Times New Roman" w:eastAsia="方正仿宋_GBK" w:hAnsi="Times New Roman" w:cs="方正仿宋_GBK" w:hint="eastAsia"/>
          <w:bCs/>
          <w:color w:val="auto"/>
          <w:kern w:val="2"/>
          <w:sz w:val="32"/>
          <w:szCs w:val="32"/>
          <w:highlight w:val="none"/>
          <w:lang w:val="en-US" w:eastAsia="zh-CN" w:bidi="ar-SA"/>
        </w:rPr>
        <w:t>元；公务用车购置费支出年初预算为</w:t>
      </w:r>
      <w:r>
        <w:rPr>
          <w:rFonts w:ascii="Times New Roman" w:eastAsia="方正仿宋_GBK" w:hAnsi="Times New Roman" w:cs="方正仿宋_GBK" w:hint="eastAsia"/>
          <w:bCs/>
          <w:color w:val="auto"/>
          <w:kern w:val="2"/>
          <w:sz w:val="32"/>
          <w:szCs w:val="32"/>
          <w:highlight w:val="none"/>
          <w:lang w:val="zh-CN" w:eastAsia="zh-CN" w:bidi="ar-SA"/>
        </w:rPr>
        <w:t>0.00</w:t>
      </w:r>
      <w:r>
        <w:rPr>
          <w:rFonts w:ascii="Times New Roman" w:eastAsia="方正仿宋_GBK" w:hAnsi="Times New Roman" w:cs="方正仿宋_GBK" w:hint="eastAsia"/>
          <w:bCs/>
          <w:color w:val="auto"/>
          <w:kern w:val="2"/>
          <w:sz w:val="32"/>
          <w:szCs w:val="32"/>
          <w:highlight w:val="none"/>
          <w:lang w:val="en-US" w:eastAsia="zh-CN" w:bidi="ar-SA"/>
        </w:rPr>
        <w:t>元，决算为</w:t>
      </w:r>
      <w:r>
        <w:rPr>
          <w:rFonts w:ascii="Times New Roman" w:eastAsia="方正仿宋_GBK" w:hAnsi="Times New Roman" w:cs="方正仿宋_GBK" w:hint="eastAsia"/>
          <w:bCs/>
          <w:color w:val="auto"/>
          <w:kern w:val="2"/>
          <w:sz w:val="32"/>
          <w:szCs w:val="32"/>
          <w:highlight w:val="none"/>
          <w:lang w:val="zh-CN" w:eastAsia="zh-CN" w:bidi="ar-SA"/>
        </w:rPr>
        <w:t>0.00</w:t>
      </w:r>
      <w:r>
        <w:rPr>
          <w:rFonts w:ascii="Times New Roman" w:eastAsia="方正仿宋_GBK" w:hAnsi="Times New Roman" w:cs="方正仿宋_GBK" w:hint="eastAsia"/>
          <w:bCs/>
          <w:color w:val="auto"/>
          <w:kern w:val="2"/>
          <w:sz w:val="32"/>
          <w:szCs w:val="32"/>
          <w:highlight w:val="none"/>
          <w:lang w:val="en-US" w:eastAsia="zh-CN" w:bidi="ar-SA"/>
        </w:rPr>
        <w:t>元；公务用车运行维护费支出年初预算为</w:t>
      </w:r>
      <w:r>
        <w:rPr>
          <w:rFonts w:ascii="Times New Roman" w:eastAsia="方正仿宋_GBK" w:hAnsi="Times New Roman" w:cs="方正仿宋_GBK" w:hint="eastAsia"/>
          <w:bCs/>
          <w:color w:val="auto"/>
          <w:kern w:val="2"/>
          <w:sz w:val="32"/>
          <w:szCs w:val="32"/>
          <w:highlight w:val="none"/>
          <w:lang w:val="zh-CN" w:eastAsia="zh-CN" w:bidi="ar-SA"/>
        </w:rPr>
        <w:t>25</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000.00</w:t>
      </w:r>
      <w:r>
        <w:rPr>
          <w:rFonts w:ascii="Times New Roman" w:eastAsia="方正仿宋_GBK" w:hAnsi="Times New Roman" w:cs="方正仿宋_GBK" w:hint="eastAsia"/>
          <w:bCs/>
          <w:color w:val="auto"/>
          <w:kern w:val="2"/>
          <w:sz w:val="32"/>
          <w:szCs w:val="32"/>
          <w:highlight w:val="none"/>
          <w:lang w:val="en-US" w:eastAsia="zh-CN" w:bidi="ar-SA"/>
        </w:rPr>
        <w:t>元，决算为</w:t>
      </w:r>
      <w:r>
        <w:rPr>
          <w:rFonts w:ascii="Times New Roman" w:eastAsia="方正仿宋_GBK" w:hAnsi="Times New Roman" w:cs="方正仿宋_GBK" w:hint="eastAsia"/>
          <w:bCs/>
          <w:color w:val="auto"/>
          <w:kern w:val="2"/>
          <w:sz w:val="32"/>
          <w:szCs w:val="32"/>
          <w:highlight w:val="none"/>
          <w:lang w:val="zh-CN" w:eastAsia="zh-CN" w:bidi="ar-SA"/>
        </w:rPr>
        <w:t>16</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000.00</w:t>
      </w:r>
      <w:r>
        <w:rPr>
          <w:rFonts w:ascii="Times New Roman" w:eastAsia="方正仿宋_GBK" w:hAnsi="Times New Roman" w:cs="方正仿宋_GBK" w:hint="eastAsia"/>
          <w:bCs/>
          <w:color w:val="auto"/>
          <w:kern w:val="2"/>
          <w:sz w:val="32"/>
          <w:szCs w:val="32"/>
          <w:highlight w:val="none"/>
          <w:lang w:val="en-US" w:eastAsia="zh-CN" w:bidi="ar-SA"/>
        </w:rPr>
        <w:t>元，完成年初预算的</w:t>
      </w:r>
      <w:r>
        <w:rPr>
          <w:rFonts w:ascii="Times New Roman" w:eastAsia="方正仿宋_GBK" w:hAnsi="Times New Roman" w:cs="方正仿宋_GBK" w:hint="eastAsia"/>
          <w:bCs/>
          <w:color w:val="auto"/>
          <w:kern w:val="2"/>
          <w:sz w:val="32"/>
          <w:szCs w:val="32"/>
          <w:highlight w:val="none"/>
          <w:lang w:val="zh-CN" w:eastAsia="zh-CN" w:bidi="ar-SA"/>
        </w:rPr>
        <w:t>64.00</w:t>
      </w:r>
      <w:r>
        <w:rPr>
          <w:rFonts w:ascii="Times New Roman" w:eastAsia="方正仿宋_GBK" w:hAnsi="Times New Roman" w:cs="方正仿宋_GBK" w:hint="eastAsia"/>
          <w:bCs/>
          <w:color w:val="auto"/>
          <w:kern w:val="2"/>
          <w:sz w:val="32"/>
          <w:szCs w:val="32"/>
          <w:highlight w:val="none"/>
          <w:lang w:val="en-US" w:eastAsia="zh-CN" w:bidi="ar-SA"/>
        </w:rPr>
        <w:t>%；公务接待费支出年初预算为</w:t>
      </w:r>
      <w:r>
        <w:rPr>
          <w:rFonts w:ascii="Times New Roman" w:eastAsia="方正仿宋_GBK" w:hAnsi="Times New Roman" w:cs="方正仿宋_GBK" w:hint="eastAsia"/>
          <w:bCs/>
          <w:color w:val="auto"/>
          <w:kern w:val="2"/>
          <w:sz w:val="32"/>
          <w:szCs w:val="32"/>
          <w:highlight w:val="none"/>
          <w:lang w:val="zh-CN" w:eastAsia="zh-CN" w:bidi="ar-SA"/>
        </w:rPr>
        <w:t>0.00</w:t>
      </w:r>
      <w:r>
        <w:rPr>
          <w:rFonts w:ascii="Times New Roman" w:eastAsia="方正仿宋_GBK" w:hAnsi="Times New Roman" w:cs="方正仿宋_GBK" w:hint="eastAsia"/>
          <w:bCs/>
          <w:color w:val="auto"/>
          <w:kern w:val="2"/>
          <w:sz w:val="32"/>
          <w:szCs w:val="32"/>
          <w:highlight w:val="none"/>
          <w:lang w:val="en-US" w:eastAsia="zh-CN" w:bidi="ar-SA"/>
        </w:rPr>
        <w:t>元，决算为</w:t>
      </w:r>
      <w:r>
        <w:rPr>
          <w:rFonts w:ascii="Times New Roman" w:eastAsia="方正仿宋_GBK" w:hAnsi="Times New Roman" w:cs="方正仿宋_GBK" w:hint="eastAsia"/>
          <w:bCs/>
          <w:color w:val="auto"/>
          <w:kern w:val="2"/>
          <w:sz w:val="32"/>
          <w:szCs w:val="32"/>
          <w:highlight w:val="none"/>
          <w:lang w:val="zh-CN" w:eastAsia="zh-CN" w:bidi="ar-SA"/>
        </w:rPr>
        <w:t>0.00</w:t>
      </w:r>
      <w:r>
        <w:rPr>
          <w:rFonts w:ascii="Times New Roman" w:eastAsia="方正仿宋_GBK" w:hAnsi="Times New Roman" w:cs="方正仿宋_GBK" w:hint="eastAsia"/>
          <w:bCs/>
          <w:color w:val="auto"/>
          <w:kern w:val="2"/>
          <w:sz w:val="32"/>
          <w:szCs w:val="32"/>
          <w:highlight w:val="none"/>
          <w:lang w:val="en-US" w:eastAsia="zh-CN" w:bidi="ar-SA"/>
        </w:rPr>
        <w:t>元。2024年度一般公共预算财政拨款“三公”经费支出决算数小于年初预算数的主要原因是财政资金紧张，未完全安排支付。</w:t>
      </w:r>
    </w:p>
    <w:p w14:paraId="75D27BCE">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en-US" w:eastAsia="zh-CN" w:bidi="ar-SA"/>
        </w:rPr>
      </w:pPr>
      <w:r>
        <w:rPr>
          <w:rFonts w:ascii="Times New Roman" w:eastAsia="方正仿宋_GBK" w:hAnsi="Times New Roman" w:cs="方正仿宋_GBK" w:hint="eastAsia"/>
          <w:bCs/>
          <w:color w:val="auto"/>
          <w:kern w:val="2"/>
          <w:sz w:val="32"/>
          <w:szCs w:val="32"/>
          <w:highlight w:val="none"/>
          <w:lang w:val="en-US" w:eastAsia="zh-CN" w:bidi="ar-SA"/>
        </w:rPr>
        <w:t>一般公共预算财政拨款“三公”经费支出中：因公出国（境）费支出决算增加/减少</w:t>
      </w:r>
      <w:r>
        <w:rPr>
          <w:rFonts w:ascii="Times New Roman" w:eastAsia="方正仿宋_GBK" w:hAnsi="Times New Roman" w:cs="方正仿宋_GBK" w:hint="eastAsia"/>
          <w:bCs/>
          <w:color w:val="auto"/>
          <w:kern w:val="2"/>
          <w:sz w:val="32"/>
          <w:szCs w:val="32"/>
          <w:highlight w:val="none"/>
          <w:lang w:val="zh-CN" w:eastAsia="zh-CN" w:bidi="ar-SA"/>
        </w:rPr>
        <w:t>0.00</w:t>
      </w:r>
      <w:r>
        <w:rPr>
          <w:rFonts w:ascii="Times New Roman" w:eastAsia="方正仿宋_GBK" w:hAnsi="Times New Roman" w:cs="方正仿宋_GBK" w:hint="eastAsia"/>
          <w:bCs/>
          <w:color w:val="auto"/>
          <w:kern w:val="2"/>
          <w:sz w:val="32"/>
          <w:szCs w:val="32"/>
          <w:highlight w:val="none"/>
          <w:lang w:val="en-US" w:eastAsia="zh-CN" w:bidi="ar-SA"/>
        </w:rPr>
        <w:t>元，上年无此项支出；公务用车购置费支出决算增加/减少</w:t>
      </w:r>
      <w:r>
        <w:rPr>
          <w:rFonts w:ascii="Times New Roman" w:eastAsia="方正仿宋_GBK" w:hAnsi="Times New Roman" w:cs="方正仿宋_GBK" w:hint="eastAsia"/>
          <w:bCs/>
          <w:color w:val="auto"/>
          <w:kern w:val="2"/>
          <w:sz w:val="32"/>
          <w:szCs w:val="32"/>
          <w:highlight w:val="none"/>
          <w:lang w:val="zh-CN" w:eastAsia="zh-CN" w:bidi="ar-SA"/>
        </w:rPr>
        <w:t>0.00</w:t>
      </w:r>
      <w:r>
        <w:rPr>
          <w:rFonts w:ascii="Times New Roman" w:eastAsia="方正仿宋_GBK" w:hAnsi="Times New Roman" w:cs="方正仿宋_GBK" w:hint="eastAsia"/>
          <w:bCs/>
          <w:color w:val="auto"/>
          <w:kern w:val="2"/>
          <w:sz w:val="32"/>
          <w:szCs w:val="32"/>
          <w:highlight w:val="none"/>
          <w:lang w:val="en-US" w:eastAsia="zh-CN" w:bidi="ar-SA"/>
        </w:rPr>
        <w:t>元，上年无此项支出；公务用车运行维护费支出决算增加</w:t>
      </w:r>
      <w:r>
        <w:rPr>
          <w:rFonts w:ascii="Times New Roman" w:eastAsia="方正仿宋_GBK" w:hAnsi="Times New Roman" w:cs="方正仿宋_GBK" w:hint="eastAsia"/>
          <w:bCs/>
          <w:color w:val="auto"/>
          <w:kern w:val="2"/>
          <w:sz w:val="32"/>
          <w:szCs w:val="32"/>
          <w:highlight w:val="none"/>
          <w:lang w:val="zh-CN" w:eastAsia="zh-CN" w:bidi="ar-SA"/>
        </w:rPr>
        <w:t>969.24</w:t>
      </w:r>
      <w:r>
        <w:rPr>
          <w:rFonts w:ascii="Times New Roman" w:eastAsia="方正仿宋_GBK" w:hAnsi="Times New Roman" w:cs="方正仿宋_GBK" w:hint="eastAsia"/>
          <w:bCs/>
          <w:color w:val="auto"/>
          <w:kern w:val="2"/>
          <w:sz w:val="32"/>
          <w:szCs w:val="32"/>
          <w:highlight w:val="none"/>
          <w:lang w:val="en-US" w:eastAsia="zh-CN" w:bidi="ar-SA"/>
        </w:rPr>
        <w:t>元，增长</w:t>
      </w:r>
      <w:r>
        <w:rPr>
          <w:rFonts w:ascii="Times New Roman" w:eastAsia="方正仿宋_GBK" w:hAnsi="Times New Roman" w:cs="方正仿宋_GBK" w:hint="eastAsia"/>
          <w:bCs/>
          <w:color w:val="auto"/>
          <w:kern w:val="2"/>
          <w:sz w:val="32"/>
          <w:szCs w:val="32"/>
          <w:highlight w:val="none"/>
          <w:lang w:val="zh-CN" w:eastAsia="zh-CN" w:bidi="ar-SA"/>
        </w:rPr>
        <w:t>6.45</w:t>
      </w:r>
      <w:r>
        <w:rPr>
          <w:rFonts w:ascii="Times New Roman" w:eastAsia="方正仿宋_GBK" w:hAnsi="Times New Roman" w:cs="方正仿宋_GBK" w:hint="eastAsia"/>
          <w:bCs/>
          <w:color w:val="auto"/>
          <w:kern w:val="2"/>
          <w:sz w:val="32"/>
          <w:szCs w:val="32"/>
          <w:highlight w:val="none"/>
          <w:lang w:val="en-US" w:eastAsia="zh-CN" w:bidi="ar-SA"/>
        </w:rPr>
        <w:t>%；公务接待费支出决算增加/减少</w:t>
      </w:r>
      <w:r>
        <w:rPr>
          <w:rFonts w:ascii="Times New Roman" w:eastAsia="方正仿宋_GBK" w:hAnsi="Times New Roman" w:cs="方正仿宋_GBK" w:hint="eastAsia"/>
          <w:bCs/>
          <w:color w:val="auto"/>
          <w:kern w:val="2"/>
          <w:sz w:val="32"/>
          <w:szCs w:val="32"/>
          <w:highlight w:val="none"/>
          <w:lang w:val="zh-CN" w:eastAsia="zh-CN" w:bidi="ar-SA"/>
        </w:rPr>
        <w:t>0.00</w:t>
      </w:r>
      <w:r>
        <w:rPr>
          <w:rFonts w:ascii="Times New Roman" w:eastAsia="方正仿宋_GBK" w:hAnsi="Times New Roman" w:cs="方正仿宋_GBK" w:hint="eastAsia"/>
          <w:bCs/>
          <w:color w:val="auto"/>
          <w:kern w:val="2"/>
          <w:sz w:val="32"/>
          <w:szCs w:val="32"/>
          <w:highlight w:val="none"/>
          <w:lang w:val="en-US" w:eastAsia="zh-CN" w:bidi="ar-SA"/>
        </w:rPr>
        <w:t>元，上年无此项支出，具体是国内接待费支出决算</w:t>
      </w:r>
      <w:r>
        <w:rPr>
          <w:rFonts w:ascii="Times New Roman" w:eastAsia="方正仿宋_GBK" w:hAnsi="Times New Roman" w:cs="方正仿宋_GBK" w:hint="eastAsia"/>
          <w:bCs/>
          <w:color w:val="auto"/>
          <w:kern w:val="2"/>
          <w:sz w:val="32"/>
          <w:szCs w:val="32"/>
          <w:highlight w:val="none"/>
          <w:lang w:val="zh-CN" w:eastAsia="zh-CN" w:bidi="ar-SA"/>
        </w:rPr>
        <w:t>0.00</w:t>
      </w:r>
      <w:r>
        <w:rPr>
          <w:rFonts w:ascii="Times New Roman" w:eastAsia="方正仿宋_GBK" w:hAnsi="Times New Roman" w:cs="方正仿宋_GBK" w:hint="eastAsia"/>
          <w:bCs/>
          <w:color w:val="auto"/>
          <w:kern w:val="2"/>
          <w:sz w:val="32"/>
          <w:szCs w:val="32"/>
          <w:highlight w:val="none"/>
          <w:lang w:val="en-US" w:eastAsia="zh-CN" w:bidi="ar-SA"/>
        </w:rPr>
        <w:t>元（其中：外事接待费支出决算</w:t>
      </w:r>
      <w:r>
        <w:rPr>
          <w:rFonts w:ascii="Times New Roman" w:eastAsia="方正仿宋_GBK" w:hAnsi="Times New Roman" w:cs="方正仿宋_GBK" w:hint="eastAsia"/>
          <w:bCs/>
          <w:color w:val="auto"/>
          <w:kern w:val="2"/>
          <w:sz w:val="32"/>
          <w:szCs w:val="32"/>
          <w:highlight w:val="none"/>
          <w:lang w:val="zh-CN" w:eastAsia="zh-CN" w:bidi="ar-SA"/>
        </w:rPr>
        <w:t>0.00</w:t>
      </w:r>
      <w:r>
        <w:rPr>
          <w:rFonts w:ascii="Times New Roman" w:eastAsia="方正仿宋_GBK" w:hAnsi="Times New Roman" w:cs="方正仿宋_GBK" w:hint="eastAsia"/>
          <w:bCs/>
          <w:color w:val="auto"/>
          <w:kern w:val="2"/>
          <w:sz w:val="32"/>
          <w:szCs w:val="32"/>
          <w:highlight w:val="none"/>
          <w:lang w:val="en-US" w:eastAsia="zh-CN" w:bidi="ar-SA"/>
        </w:rPr>
        <w:t>元），较上年增加/减少0.00元，上年无此项支出；国（境）外接待费支出决算</w:t>
      </w:r>
      <w:r>
        <w:rPr>
          <w:rFonts w:ascii="Times New Roman" w:eastAsia="方正仿宋_GBK" w:hAnsi="Times New Roman" w:cs="方正仿宋_GBK" w:hint="eastAsia"/>
          <w:bCs/>
          <w:color w:val="auto"/>
          <w:kern w:val="2"/>
          <w:sz w:val="32"/>
          <w:szCs w:val="32"/>
          <w:highlight w:val="none"/>
          <w:lang w:val="zh-CN" w:eastAsia="zh-CN" w:bidi="ar-SA"/>
        </w:rPr>
        <w:t>0.00</w:t>
      </w:r>
      <w:r>
        <w:rPr>
          <w:rFonts w:ascii="Times New Roman" w:eastAsia="方正仿宋_GBK" w:hAnsi="Times New Roman" w:cs="方正仿宋_GBK" w:hint="eastAsia"/>
          <w:bCs/>
          <w:color w:val="auto"/>
          <w:kern w:val="2"/>
          <w:sz w:val="32"/>
          <w:szCs w:val="32"/>
          <w:highlight w:val="none"/>
          <w:lang w:val="en-US" w:eastAsia="zh-CN" w:bidi="ar-SA"/>
        </w:rPr>
        <w:t>元较上年增加/减少0.00元，上年无此项支出。2024年度一般公共预算财政拨款“三公”经费支出决算增加的主要原因是2024年上级下达任务增加</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en-US" w:eastAsia="zh-CN" w:bidi="ar-SA"/>
        </w:rPr>
        <w:t>下乡次数增加导致公务用车运行费用增加。</w:t>
      </w:r>
    </w:p>
    <w:p w14:paraId="09906E30">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en-US" w:eastAsia="zh-CN" w:bidi="ar-SA"/>
        </w:rPr>
      </w:pPr>
      <w:r>
        <w:rPr>
          <w:rFonts w:ascii="Times New Roman" w:eastAsia="方正仿宋_GBK" w:hAnsi="Times New Roman" w:cs="方正仿宋_GBK" w:hint="eastAsia"/>
          <w:bCs/>
          <w:color w:val="auto"/>
          <w:kern w:val="2"/>
          <w:sz w:val="32"/>
          <w:szCs w:val="32"/>
          <w:highlight w:val="none"/>
          <w:lang w:val="en-US" w:eastAsia="zh-CN" w:bidi="ar-SA"/>
        </w:rPr>
        <w:t>一般公共预算财政拨款“三公”经费支出实物量的具体情况：</w:t>
      </w:r>
    </w:p>
    <w:p w14:paraId="2AA9F0A2">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en-US" w:eastAsia="zh-CN" w:bidi="ar-SA"/>
        </w:rPr>
      </w:pPr>
      <w:r>
        <w:rPr>
          <w:rFonts w:ascii="Times New Roman" w:eastAsia="方正仿宋_GBK" w:hAnsi="Times New Roman" w:cs="方正仿宋_GBK" w:hint="eastAsia"/>
          <w:bCs/>
          <w:color w:val="auto"/>
          <w:kern w:val="2"/>
          <w:sz w:val="32"/>
          <w:szCs w:val="32"/>
          <w:highlight w:val="none"/>
          <w:lang w:val="en-US" w:eastAsia="zh-CN" w:bidi="ar-SA"/>
        </w:rPr>
        <w:t>1.安排因公出国（境）团组</w:t>
      </w:r>
      <w:r>
        <w:rPr>
          <w:rFonts w:eastAsia="方正仿宋_GBK" w:cs="方正仿宋_GBK" w:hint="eastAsia"/>
          <w:bCs/>
          <w:color w:val="auto"/>
          <w:kern w:val="2"/>
          <w:sz w:val="32"/>
          <w:szCs w:val="32"/>
          <w:highlight w:val="none"/>
          <w:lang w:val="en-US" w:eastAsia="zh-CN" w:bidi="ar-SA"/>
        </w:rPr>
        <w:t>0</w:t>
      </w:r>
      <w:r>
        <w:rPr>
          <w:rFonts w:ascii="Times New Roman" w:eastAsia="方正仿宋_GBK" w:hAnsi="Times New Roman" w:cs="方正仿宋_GBK" w:hint="eastAsia"/>
          <w:bCs/>
          <w:color w:val="auto"/>
          <w:kern w:val="2"/>
          <w:sz w:val="32"/>
          <w:szCs w:val="32"/>
          <w:highlight w:val="none"/>
          <w:lang w:val="en-US" w:eastAsia="zh-CN" w:bidi="ar-SA"/>
        </w:rPr>
        <w:t>个，累计</w:t>
      </w:r>
      <w:r>
        <w:rPr>
          <w:rFonts w:eastAsia="方正仿宋_GBK" w:cs="方正仿宋_GBK" w:hint="eastAsia"/>
          <w:bCs/>
          <w:color w:val="auto"/>
          <w:kern w:val="2"/>
          <w:sz w:val="32"/>
          <w:szCs w:val="32"/>
          <w:highlight w:val="none"/>
          <w:lang w:val="en-US" w:eastAsia="zh-CN" w:bidi="ar-SA"/>
        </w:rPr>
        <w:t>0</w:t>
      </w:r>
      <w:r>
        <w:rPr>
          <w:rFonts w:ascii="Times New Roman" w:eastAsia="方正仿宋_GBK" w:hAnsi="Times New Roman" w:cs="方正仿宋_GBK" w:hint="eastAsia"/>
          <w:bCs/>
          <w:color w:val="auto"/>
          <w:kern w:val="2"/>
          <w:sz w:val="32"/>
          <w:szCs w:val="32"/>
          <w:highlight w:val="none"/>
          <w:lang w:val="en-US" w:eastAsia="zh-CN" w:bidi="ar-SA"/>
        </w:rPr>
        <w:t>人次。</w:t>
      </w:r>
    </w:p>
    <w:p w14:paraId="46478F93">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en-US" w:eastAsia="zh-CN" w:bidi="ar-SA"/>
        </w:rPr>
      </w:pPr>
      <w:r>
        <w:rPr>
          <w:rFonts w:ascii="Times New Roman" w:eastAsia="方正仿宋_GBK" w:hAnsi="Times New Roman" w:cs="方正仿宋_GBK" w:hint="eastAsia"/>
          <w:bCs/>
          <w:color w:val="auto"/>
          <w:kern w:val="2"/>
          <w:sz w:val="32"/>
          <w:szCs w:val="32"/>
          <w:highlight w:val="none"/>
          <w:lang w:val="en-US" w:eastAsia="zh-CN" w:bidi="ar-SA"/>
        </w:rPr>
        <w:t>2.购置车辆</w:t>
      </w:r>
      <w:r>
        <w:rPr>
          <w:rFonts w:eastAsia="方正仿宋_GBK" w:cs="方正仿宋_GBK" w:hint="eastAsia"/>
          <w:bCs/>
          <w:color w:val="auto"/>
          <w:kern w:val="2"/>
          <w:sz w:val="32"/>
          <w:szCs w:val="32"/>
          <w:highlight w:val="none"/>
          <w:lang w:val="en-US" w:eastAsia="zh-CN" w:bidi="ar-SA"/>
        </w:rPr>
        <w:t>0</w:t>
      </w:r>
      <w:r>
        <w:rPr>
          <w:rFonts w:ascii="Times New Roman" w:eastAsia="方正仿宋_GBK" w:hAnsi="Times New Roman" w:cs="方正仿宋_GBK" w:hint="eastAsia"/>
          <w:bCs/>
          <w:color w:val="auto"/>
          <w:kern w:val="2"/>
          <w:sz w:val="32"/>
          <w:szCs w:val="32"/>
          <w:highlight w:val="none"/>
          <w:lang w:val="en-US" w:eastAsia="zh-CN" w:bidi="ar-SA"/>
        </w:rPr>
        <w:t>辆。开支一般公共预算财政拨款的公务用车保有量为1辆。主要用于下乡所需车辆燃料费、维修费、过路过桥费、保险费等。</w:t>
      </w:r>
    </w:p>
    <w:p w14:paraId="10867E35">
      <w:pPr>
        <w:keepNext w:val="0"/>
        <w:keepLines w:val="0"/>
        <w:pageBreakBefore w:val="0"/>
        <w:kinsoku/>
        <w:wordWrap/>
        <w:overflowPunct/>
        <w:topLinePunct w:val="0"/>
        <w:autoSpaceDE/>
        <w:autoSpaceDN/>
        <w:bidi w:val="0"/>
        <w:spacing w:line="590" w:lineRule="exact"/>
        <w:ind w:firstLine="640" w:firstLineChars="200"/>
        <w:textAlignment w:val="auto"/>
        <w:rPr>
          <w:rFonts w:ascii="仿宋_GB2312" w:eastAsia="仿宋_GB2312" w:hint="eastAsia"/>
          <w:b w:val="0"/>
          <w:bCs/>
          <w:color w:val="FF0000"/>
          <w:sz w:val="30"/>
          <w:szCs w:val="30"/>
          <w:highlight w:val="none"/>
          <w:lang w:eastAsia="zh-CN"/>
        </w:rPr>
      </w:pPr>
      <w:r>
        <w:rPr>
          <w:rFonts w:ascii="Times New Roman" w:eastAsia="方正仿宋_GBK" w:hAnsi="Times New Roman" w:cs="方正仿宋_GBK" w:hint="eastAsia"/>
          <w:bCs/>
          <w:color w:val="auto"/>
          <w:kern w:val="2"/>
          <w:sz w:val="32"/>
          <w:szCs w:val="32"/>
          <w:highlight w:val="none"/>
          <w:lang w:val="en-US" w:eastAsia="zh-CN" w:bidi="ar-SA"/>
        </w:rPr>
        <w:t>3.安排国内公务接待</w:t>
      </w:r>
      <w:r>
        <w:rPr>
          <w:rFonts w:eastAsia="方正仿宋_GBK" w:cs="方正仿宋_GBK" w:hint="eastAsia"/>
          <w:bCs/>
          <w:color w:val="auto"/>
          <w:kern w:val="2"/>
          <w:sz w:val="32"/>
          <w:szCs w:val="32"/>
          <w:highlight w:val="none"/>
          <w:lang w:val="en-US" w:eastAsia="zh-CN" w:bidi="ar-SA"/>
        </w:rPr>
        <w:t>0</w:t>
      </w:r>
      <w:r>
        <w:rPr>
          <w:rFonts w:ascii="Times New Roman" w:eastAsia="方正仿宋_GBK" w:hAnsi="Times New Roman" w:cs="方正仿宋_GBK" w:hint="eastAsia"/>
          <w:bCs/>
          <w:color w:val="auto"/>
          <w:kern w:val="2"/>
          <w:sz w:val="32"/>
          <w:szCs w:val="32"/>
          <w:highlight w:val="none"/>
          <w:lang w:val="en-US" w:eastAsia="zh-CN" w:bidi="ar-SA"/>
        </w:rPr>
        <w:t>批次（其中：外事接待</w:t>
      </w:r>
      <w:r>
        <w:rPr>
          <w:rFonts w:eastAsia="方正仿宋_GBK" w:cs="方正仿宋_GBK" w:hint="eastAsia"/>
          <w:bCs/>
          <w:color w:val="auto"/>
          <w:kern w:val="2"/>
          <w:sz w:val="32"/>
          <w:szCs w:val="32"/>
          <w:highlight w:val="none"/>
          <w:lang w:val="en-US" w:eastAsia="zh-CN" w:bidi="ar-SA"/>
        </w:rPr>
        <w:t>0</w:t>
      </w:r>
      <w:r>
        <w:rPr>
          <w:rFonts w:ascii="Times New Roman" w:eastAsia="方正仿宋_GBK" w:hAnsi="Times New Roman" w:cs="方正仿宋_GBK" w:hint="eastAsia"/>
          <w:bCs/>
          <w:color w:val="auto"/>
          <w:kern w:val="2"/>
          <w:sz w:val="32"/>
          <w:szCs w:val="32"/>
          <w:highlight w:val="none"/>
          <w:lang w:val="en-US" w:eastAsia="zh-CN" w:bidi="ar-SA"/>
        </w:rPr>
        <w:t>批次），接待人次</w:t>
      </w:r>
      <w:r>
        <w:rPr>
          <w:rFonts w:eastAsia="方正仿宋_GBK" w:cs="方正仿宋_GBK" w:hint="eastAsia"/>
          <w:bCs/>
          <w:color w:val="auto"/>
          <w:kern w:val="2"/>
          <w:sz w:val="32"/>
          <w:szCs w:val="32"/>
          <w:highlight w:val="none"/>
          <w:lang w:val="en-US" w:eastAsia="zh-CN" w:bidi="ar-SA"/>
        </w:rPr>
        <w:t>0</w:t>
      </w:r>
      <w:r>
        <w:rPr>
          <w:rFonts w:ascii="Times New Roman" w:eastAsia="方正仿宋_GBK" w:hAnsi="Times New Roman" w:cs="方正仿宋_GBK" w:hint="eastAsia"/>
          <w:bCs/>
          <w:color w:val="auto"/>
          <w:kern w:val="2"/>
          <w:sz w:val="32"/>
          <w:szCs w:val="32"/>
          <w:highlight w:val="none"/>
          <w:lang w:val="en-US" w:eastAsia="zh-CN" w:bidi="ar-SA"/>
        </w:rPr>
        <w:t>人（其中：外事接待人次</w:t>
      </w:r>
      <w:r>
        <w:rPr>
          <w:rFonts w:eastAsia="方正仿宋_GBK" w:cs="方正仿宋_GBK" w:hint="eastAsia"/>
          <w:bCs/>
          <w:color w:val="auto"/>
          <w:kern w:val="2"/>
          <w:sz w:val="32"/>
          <w:szCs w:val="32"/>
          <w:highlight w:val="none"/>
          <w:lang w:val="en-US" w:eastAsia="zh-CN" w:bidi="ar-SA"/>
        </w:rPr>
        <w:t>0</w:t>
      </w:r>
      <w:r>
        <w:rPr>
          <w:rFonts w:ascii="Times New Roman" w:eastAsia="方正仿宋_GBK" w:hAnsi="Times New Roman" w:cs="方正仿宋_GBK" w:hint="eastAsia"/>
          <w:bCs/>
          <w:color w:val="auto"/>
          <w:kern w:val="2"/>
          <w:sz w:val="32"/>
          <w:szCs w:val="32"/>
          <w:highlight w:val="none"/>
          <w:lang w:val="en-US" w:eastAsia="zh-CN" w:bidi="ar-SA"/>
        </w:rPr>
        <w:t>人）。安排国（境）外公务接待</w:t>
      </w:r>
      <w:r>
        <w:rPr>
          <w:rFonts w:eastAsia="方正仿宋_GBK" w:cs="方正仿宋_GBK" w:hint="eastAsia"/>
          <w:bCs/>
          <w:color w:val="auto"/>
          <w:kern w:val="2"/>
          <w:sz w:val="32"/>
          <w:szCs w:val="32"/>
          <w:highlight w:val="none"/>
          <w:lang w:val="en-US" w:eastAsia="zh-CN" w:bidi="ar-SA"/>
        </w:rPr>
        <w:t>0</w:t>
      </w:r>
      <w:r>
        <w:rPr>
          <w:rFonts w:ascii="Times New Roman" w:eastAsia="方正仿宋_GBK" w:hAnsi="Times New Roman" w:cs="方正仿宋_GBK" w:hint="eastAsia"/>
          <w:bCs/>
          <w:color w:val="auto"/>
          <w:kern w:val="2"/>
          <w:sz w:val="32"/>
          <w:szCs w:val="32"/>
          <w:highlight w:val="none"/>
          <w:lang w:val="en-US" w:eastAsia="zh-CN" w:bidi="ar-SA"/>
        </w:rPr>
        <w:t>批次，接待人次</w:t>
      </w:r>
      <w:r>
        <w:rPr>
          <w:rFonts w:eastAsia="方正仿宋_GBK" w:cs="方正仿宋_GBK" w:hint="eastAsia"/>
          <w:bCs/>
          <w:color w:val="auto"/>
          <w:kern w:val="2"/>
          <w:sz w:val="32"/>
          <w:szCs w:val="32"/>
          <w:highlight w:val="none"/>
          <w:lang w:val="en-US" w:eastAsia="zh-CN" w:bidi="ar-SA"/>
        </w:rPr>
        <w:t>0</w:t>
      </w:r>
      <w:r>
        <w:rPr>
          <w:rFonts w:ascii="Times New Roman" w:eastAsia="方正仿宋_GBK" w:hAnsi="Times New Roman" w:cs="方正仿宋_GBK" w:hint="eastAsia"/>
          <w:bCs/>
          <w:color w:val="auto"/>
          <w:kern w:val="2"/>
          <w:sz w:val="32"/>
          <w:szCs w:val="32"/>
          <w:highlight w:val="none"/>
          <w:lang w:val="en-US" w:eastAsia="zh-CN" w:bidi="ar-SA"/>
        </w:rPr>
        <w:t>人。</w:t>
      </w:r>
    </w:p>
    <w:p w14:paraId="0B16F050">
      <w:pPr>
        <w:keepNext w:val="0"/>
        <w:keepLines w:val="0"/>
        <w:pageBreakBefore w:val="0"/>
        <w:widowControl/>
        <w:kinsoku/>
        <w:wordWrap/>
        <w:overflowPunct/>
        <w:topLinePunct w:val="0"/>
        <w:autoSpaceDE/>
        <w:autoSpaceDN/>
        <w:bidi w:val="0"/>
        <w:snapToGrid w:val="0"/>
        <w:spacing w:before="100" w:after="100" w:line="590" w:lineRule="exact"/>
        <w:ind w:firstLine="640" w:firstLineChars="200"/>
        <w:jc w:val="left"/>
        <w:textAlignment w:val="auto"/>
        <w:outlineLvl w:val="2"/>
        <w:rPr>
          <w:rFonts w:ascii="方正楷体_GBK" w:eastAsia="方正楷体_GBK" w:hAnsi="方正楷体_GBK" w:cs="方正楷体_GBK" w:hint="eastAsia"/>
          <w:sz w:val="32"/>
          <w:szCs w:val="32"/>
          <w:highlight w:val="none"/>
          <w:lang w:val="en-US" w:eastAsia="zh-CN"/>
        </w:rPr>
      </w:pPr>
      <w:r>
        <w:rPr>
          <w:rFonts w:ascii="方正楷体_GBK" w:eastAsia="方正楷体_GBK" w:hAnsi="方正楷体_GBK" w:cs="方正楷体_GBK" w:hint="eastAsia"/>
          <w:sz w:val="32"/>
          <w:szCs w:val="32"/>
          <w:highlight w:val="none"/>
          <w:lang w:val="en-US" w:eastAsia="zh-CN"/>
        </w:rPr>
        <w:t>（三）需要说明的事项</w:t>
      </w:r>
    </w:p>
    <w:p w14:paraId="52270627">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en-US" w:eastAsia="zh-CN" w:bidi="ar-SA"/>
        </w:rPr>
      </w:pPr>
      <w:r>
        <w:rPr>
          <w:rFonts w:ascii="Times New Roman" w:eastAsia="方正仿宋_GBK" w:hAnsi="Times New Roman" w:cs="方正仿宋_GBK" w:hint="eastAsia"/>
          <w:bCs/>
          <w:color w:val="auto"/>
          <w:kern w:val="2"/>
          <w:sz w:val="32"/>
          <w:szCs w:val="32"/>
          <w:highlight w:val="none"/>
          <w:lang w:val="en-US" w:eastAsia="zh-CN" w:bidi="ar-SA"/>
        </w:rPr>
        <w:t>不存在需要说明的事项。</w:t>
      </w:r>
    </w:p>
    <w:p w14:paraId="6254512C">
      <w:pPr>
        <w:keepNext w:val="0"/>
        <w:keepLines w:val="0"/>
        <w:pageBreakBefore w:val="0"/>
        <w:widowControl/>
        <w:kinsoku/>
        <w:wordWrap/>
        <w:overflowPunct/>
        <w:topLinePunct w:val="0"/>
        <w:autoSpaceDE/>
        <w:autoSpaceDN/>
        <w:bidi w:val="0"/>
        <w:snapToGrid w:val="0"/>
        <w:spacing w:before="100" w:after="100" w:line="590" w:lineRule="exact"/>
        <w:jc w:val="center"/>
        <w:textAlignment w:val="auto"/>
        <w:outlineLvl w:val="0"/>
        <w:rPr>
          <w:rFonts w:ascii="仿宋_GB2312" w:eastAsia="仿宋_GB2312" w:hint="eastAsia"/>
          <w:sz w:val="32"/>
          <w:szCs w:val="32"/>
          <w:highlight w:val="none"/>
        </w:rPr>
      </w:pPr>
      <w:r>
        <w:rPr>
          <w:rFonts w:ascii="黑体" w:eastAsia="黑体" w:hAnsi="黑体" w:cs="方正小标宋简体" w:hint="eastAsia"/>
          <w:sz w:val="32"/>
          <w:szCs w:val="32"/>
          <w:highlight w:val="none"/>
        </w:rPr>
        <w:t xml:space="preserve">第四部分  </w:t>
      </w:r>
      <w:r>
        <w:rPr>
          <w:rFonts w:ascii="黑体" w:eastAsia="黑体" w:hAnsi="黑体" w:hint="eastAsia"/>
          <w:sz w:val="32"/>
          <w:szCs w:val="32"/>
          <w:highlight w:val="none"/>
        </w:rPr>
        <w:t>其他重要事项及相关口径情况说明</w:t>
      </w:r>
    </w:p>
    <w:p w14:paraId="0B7F4B38">
      <w:pPr>
        <w:keepNext w:val="0"/>
        <w:keepLines w:val="0"/>
        <w:pageBreakBefore w:val="0"/>
        <w:kinsoku/>
        <w:wordWrap/>
        <w:overflowPunct/>
        <w:topLinePunct w:val="0"/>
        <w:autoSpaceDE/>
        <w:autoSpaceDN/>
        <w:bidi w:val="0"/>
        <w:spacing w:line="590" w:lineRule="exact"/>
        <w:ind w:firstLine="640" w:firstLineChars="200"/>
        <w:jc w:val="left"/>
        <w:textAlignment w:val="auto"/>
        <w:outlineLvl w:val="1"/>
        <w:rPr>
          <w:rFonts w:ascii="方正黑体_GBK" w:eastAsia="方正黑体_GBK" w:hAnsi="方正黑体_GBK" w:cs="方正黑体_GBK" w:hint="eastAsia"/>
          <w:sz w:val="32"/>
          <w:szCs w:val="32"/>
          <w:highlight w:val="none"/>
        </w:rPr>
      </w:pPr>
      <w:r>
        <w:rPr>
          <w:rFonts w:ascii="方正黑体_GBK" w:eastAsia="方正黑体_GBK" w:hAnsi="方正黑体_GBK" w:cs="方正黑体_GBK" w:hint="eastAsia"/>
          <w:sz w:val="32"/>
          <w:szCs w:val="32"/>
          <w:highlight w:val="none"/>
        </w:rPr>
        <w:t>一</w:t>
      </w:r>
      <w:r>
        <w:rPr>
          <w:rFonts w:ascii="方正黑体_GBK" w:eastAsia="方正黑体_GBK" w:hAnsi="方正黑体_GBK" w:cs="方正黑体_GBK" w:hint="eastAsia"/>
          <w:sz w:val="32"/>
          <w:szCs w:val="32"/>
          <w:highlight w:val="none"/>
          <w:lang w:eastAsia="zh-CN"/>
        </w:rPr>
        <w:t>、</w:t>
      </w:r>
      <w:r>
        <w:rPr>
          <w:rFonts w:ascii="方正黑体_GBK" w:eastAsia="方正黑体_GBK" w:hAnsi="方正黑体_GBK" w:cs="方正黑体_GBK" w:hint="eastAsia"/>
          <w:sz w:val="32"/>
          <w:szCs w:val="32"/>
          <w:highlight w:val="none"/>
        </w:rPr>
        <w:t>机关运行经费支出情况</w:t>
      </w:r>
    </w:p>
    <w:p w14:paraId="5A111B1D">
      <w:pPr>
        <w:keepNext w:val="0"/>
        <w:keepLines w:val="0"/>
        <w:pageBreakBefore w:val="0"/>
        <w:kinsoku/>
        <w:wordWrap/>
        <w:overflowPunct/>
        <w:topLinePunct w:val="0"/>
        <w:autoSpaceDE/>
        <w:autoSpaceDN/>
        <w:bidi w:val="0"/>
        <w:spacing w:line="590" w:lineRule="exact"/>
        <w:ind w:firstLine="640" w:firstLineChars="200"/>
        <w:textAlignment w:val="auto"/>
        <w:rPr>
          <w:rFonts w:ascii="仿宋_GB2312" w:eastAsia="仿宋_GB2312" w:hAnsi="黑体" w:cs="方正小标宋简体" w:hint="eastAsia"/>
          <w:sz w:val="30"/>
          <w:szCs w:val="30"/>
          <w:highlight w:val="none"/>
        </w:rPr>
      </w:pPr>
      <w:r>
        <w:rPr>
          <w:rFonts w:ascii="Times New Roman" w:eastAsia="方正仿宋_GBK" w:hAnsi="Times New Roman" w:cs="方正仿宋_GBK" w:hint="eastAsia"/>
          <w:bCs/>
          <w:color w:val="auto"/>
          <w:kern w:val="2"/>
          <w:sz w:val="32"/>
          <w:szCs w:val="32"/>
          <w:highlight w:val="none"/>
          <w:lang w:val="zh-CN" w:eastAsia="zh-CN" w:bidi="ar-SA"/>
        </w:rPr>
        <w:t>峨山彝族自治县妇幼保健院</w:t>
      </w:r>
      <w:r>
        <w:rPr>
          <w:rFonts w:ascii="Times New Roman" w:eastAsia="方正仿宋_GBK" w:hAnsi="Times New Roman" w:cs="方正仿宋_GBK" w:hint="eastAsia"/>
          <w:bCs/>
          <w:color w:val="auto"/>
          <w:kern w:val="2"/>
          <w:sz w:val="32"/>
          <w:szCs w:val="32"/>
          <w:highlight w:val="none"/>
          <w:lang w:val="en-US" w:eastAsia="zh-CN" w:bidi="ar-SA"/>
        </w:rPr>
        <w:t>2024年机关运行经费支出0.00元，</w:t>
      </w:r>
      <w:r>
        <w:rPr>
          <w:rFonts w:ascii="Times New Roman" w:eastAsia="方正仿宋_GBK" w:hAnsi="Times New Roman" w:cs="方正仿宋_GBK" w:hint="default"/>
          <w:bCs/>
          <w:color w:val="auto"/>
          <w:kern w:val="2"/>
          <w:sz w:val="32"/>
          <w:szCs w:val="32"/>
          <w:highlight w:val="none"/>
          <w:lang w:val="en-US" w:eastAsia="zh-CN" w:bidi="ar-SA"/>
        </w:rPr>
        <w:t>（本单位为全额拨款的事业单位）</w:t>
      </w:r>
      <w:r>
        <w:rPr>
          <w:rFonts w:ascii="Times New Roman" w:eastAsia="方正仿宋_GBK" w:hAnsi="Times New Roman" w:cs="方正仿宋_GBK" w:hint="eastAsia"/>
          <w:bCs/>
          <w:color w:val="auto"/>
          <w:kern w:val="2"/>
          <w:sz w:val="32"/>
          <w:szCs w:val="32"/>
          <w:highlight w:val="none"/>
          <w:lang w:val="en-US" w:eastAsia="zh-CN" w:bidi="ar-SA"/>
        </w:rPr>
        <w:t>。</w:t>
      </w:r>
    </w:p>
    <w:p w14:paraId="1E2068D8">
      <w:pPr>
        <w:keepNext w:val="0"/>
        <w:keepLines w:val="0"/>
        <w:pageBreakBefore w:val="0"/>
        <w:kinsoku/>
        <w:wordWrap/>
        <w:overflowPunct/>
        <w:topLinePunct w:val="0"/>
        <w:autoSpaceDE/>
        <w:autoSpaceDN/>
        <w:bidi w:val="0"/>
        <w:spacing w:line="590" w:lineRule="exact"/>
        <w:ind w:firstLine="640" w:firstLineChars="200"/>
        <w:jc w:val="left"/>
        <w:textAlignment w:val="auto"/>
        <w:outlineLvl w:val="1"/>
        <w:rPr>
          <w:rFonts w:ascii="方正黑体_GBK" w:eastAsia="方正黑体_GBK" w:hAnsi="方正黑体_GBK" w:cs="方正黑体_GBK" w:hint="eastAsia"/>
          <w:sz w:val="32"/>
          <w:szCs w:val="32"/>
          <w:highlight w:val="none"/>
        </w:rPr>
      </w:pPr>
      <w:r>
        <w:rPr>
          <w:rFonts w:ascii="方正黑体_GBK" w:eastAsia="方正黑体_GBK" w:hAnsi="方正黑体_GBK" w:cs="方正黑体_GBK" w:hint="eastAsia"/>
          <w:sz w:val="32"/>
          <w:szCs w:val="32"/>
          <w:highlight w:val="none"/>
          <w:lang w:eastAsia="zh-CN"/>
        </w:rPr>
        <w:t>二、</w:t>
      </w:r>
      <w:r>
        <w:rPr>
          <w:rFonts w:ascii="方正黑体_GBK" w:eastAsia="方正黑体_GBK" w:hAnsi="方正黑体_GBK" w:cs="方正黑体_GBK" w:hint="eastAsia"/>
          <w:sz w:val="32"/>
          <w:szCs w:val="32"/>
          <w:highlight w:val="none"/>
        </w:rPr>
        <w:t>国有资产占用情况</w:t>
      </w:r>
    </w:p>
    <w:p w14:paraId="4F77165E">
      <w:pPr>
        <w:keepNext w:val="0"/>
        <w:keepLines w:val="0"/>
        <w:pageBreakBefore w:val="0"/>
        <w:kinsoku/>
        <w:wordWrap/>
        <w:overflowPunct/>
        <w:topLinePunct w:val="0"/>
        <w:autoSpaceDE/>
        <w:autoSpaceDN/>
        <w:bidi w:val="0"/>
        <w:spacing w:line="590" w:lineRule="exact"/>
        <w:ind w:firstLine="640" w:firstLineChars="200"/>
        <w:textAlignment w:val="auto"/>
        <w:rPr>
          <w:rFonts w:ascii="仿宋_GB2312" w:eastAsia="仿宋_GB2312" w:hAnsi="黑体" w:cs="方正小标宋简体" w:hint="eastAsia"/>
          <w:color w:val="000000"/>
          <w:kern w:val="0"/>
          <w:sz w:val="30"/>
          <w:szCs w:val="30"/>
          <w:highlight w:val="none"/>
        </w:rPr>
      </w:pPr>
      <w:r>
        <w:rPr>
          <w:rFonts w:ascii="Times New Roman" w:eastAsia="方正仿宋_GBK" w:hAnsi="Times New Roman" w:cs="方正仿宋_GBK" w:hint="eastAsia"/>
          <w:bCs/>
          <w:color w:val="auto"/>
          <w:kern w:val="2"/>
          <w:sz w:val="32"/>
          <w:szCs w:val="32"/>
          <w:highlight w:val="none"/>
          <w:lang w:val="zh-CN" w:eastAsia="zh-CN" w:bidi="ar-SA"/>
        </w:rPr>
        <w:t>截至2024年末，峨山彝族自治县妇幼保健院资产总额</w:t>
      </w:r>
      <w:r>
        <w:rPr>
          <w:rFonts w:ascii="Times New Roman" w:eastAsia="方正仿宋_GBK" w:hAnsi="Times New Roman" w:cs="方正仿宋_GBK" w:hint="eastAsia"/>
          <w:bCs/>
          <w:color w:val="auto"/>
          <w:kern w:val="2"/>
          <w:sz w:val="32"/>
          <w:szCs w:val="32"/>
          <w:highlight w:val="none"/>
          <w:lang w:val="en-US" w:eastAsia="zh-CN" w:bidi="ar-SA"/>
        </w:rPr>
        <w:t>23</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en-US" w:eastAsia="zh-CN" w:bidi="ar-SA"/>
        </w:rPr>
        <w:t>830</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en-US" w:eastAsia="zh-CN" w:bidi="ar-SA"/>
        </w:rPr>
        <w:t>670.03</w:t>
      </w:r>
      <w:r>
        <w:rPr>
          <w:rFonts w:ascii="Times New Roman" w:eastAsia="方正仿宋_GBK" w:hAnsi="Times New Roman" w:cs="方正仿宋_GBK" w:hint="eastAsia"/>
          <w:bCs/>
          <w:color w:val="auto"/>
          <w:kern w:val="2"/>
          <w:sz w:val="32"/>
          <w:szCs w:val="32"/>
          <w:highlight w:val="none"/>
          <w:lang w:val="zh-CN" w:eastAsia="zh-CN" w:bidi="ar-SA"/>
        </w:rPr>
        <w:t>元，其中，流动资产</w:t>
      </w:r>
      <w:r>
        <w:rPr>
          <w:rFonts w:ascii="Times New Roman" w:eastAsia="方正仿宋_GBK" w:hAnsi="Times New Roman" w:cs="方正仿宋_GBK" w:hint="eastAsia"/>
          <w:bCs/>
          <w:color w:val="auto"/>
          <w:kern w:val="2"/>
          <w:sz w:val="32"/>
          <w:szCs w:val="32"/>
          <w:highlight w:val="none"/>
          <w:lang w:val="en-US" w:eastAsia="zh-CN" w:bidi="ar-SA"/>
        </w:rPr>
        <w:t>2</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en-US" w:eastAsia="zh-CN" w:bidi="ar-SA"/>
        </w:rPr>
        <w:t>925</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en-US" w:eastAsia="zh-CN" w:bidi="ar-SA"/>
        </w:rPr>
        <w:t>657.35</w:t>
      </w:r>
      <w:r>
        <w:rPr>
          <w:rFonts w:ascii="Times New Roman" w:eastAsia="方正仿宋_GBK" w:hAnsi="Times New Roman" w:cs="方正仿宋_GBK" w:hint="eastAsia"/>
          <w:bCs/>
          <w:color w:val="auto"/>
          <w:kern w:val="2"/>
          <w:sz w:val="32"/>
          <w:szCs w:val="32"/>
          <w:highlight w:val="none"/>
          <w:lang w:val="zh-CN" w:eastAsia="zh-CN" w:bidi="ar-SA"/>
        </w:rPr>
        <w:t>元，固定资产</w:t>
      </w:r>
      <w:r>
        <w:rPr>
          <w:rFonts w:ascii="Times New Roman" w:eastAsia="方正仿宋_GBK" w:hAnsi="Times New Roman" w:cs="方正仿宋_GBK" w:hint="eastAsia"/>
          <w:bCs/>
          <w:color w:val="auto"/>
          <w:kern w:val="2"/>
          <w:sz w:val="32"/>
          <w:szCs w:val="32"/>
          <w:highlight w:val="none"/>
          <w:lang w:val="en-US" w:eastAsia="zh-CN" w:bidi="ar-SA"/>
        </w:rPr>
        <w:t>17</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en-US" w:eastAsia="zh-CN" w:bidi="ar-SA"/>
        </w:rPr>
        <w:t>035</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en-US" w:eastAsia="zh-CN" w:bidi="ar-SA"/>
        </w:rPr>
        <w:t>043.49</w:t>
      </w:r>
      <w:r>
        <w:rPr>
          <w:rFonts w:ascii="Times New Roman" w:eastAsia="方正仿宋_GBK" w:hAnsi="Times New Roman" w:cs="方正仿宋_GBK" w:hint="eastAsia"/>
          <w:bCs/>
          <w:color w:val="auto"/>
          <w:kern w:val="2"/>
          <w:sz w:val="32"/>
          <w:szCs w:val="32"/>
          <w:highlight w:val="none"/>
          <w:lang w:val="zh-CN" w:eastAsia="zh-CN" w:bidi="ar-SA"/>
        </w:rPr>
        <w:t>元（净值），对外投资及有价证券</w:t>
      </w:r>
      <w:r>
        <w:rPr>
          <w:rFonts w:ascii="Times New Roman" w:eastAsia="方正仿宋_GBK" w:hAnsi="Times New Roman" w:cs="方正仿宋_GBK" w:hint="eastAsia"/>
          <w:bCs/>
          <w:color w:val="auto"/>
          <w:kern w:val="2"/>
          <w:sz w:val="32"/>
          <w:szCs w:val="32"/>
          <w:highlight w:val="none"/>
          <w:lang w:val="en-US" w:eastAsia="zh-CN" w:bidi="ar-SA"/>
        </w:rPr>
        <w:t>0.00</w:t>
      </w:r>
      <w:r>
        <w:rPr>
          <w:rFonts w:ascii="Times New Roman" w:eastAsia="方正仿宋_GBK" w:hAnsi="Times New Roman" w:cs="方正仿宋_GBK" w:hint="eastAsia"/>
          <w:bCs/>
          <w:color w:val="auto"/>
          <w:kern w:val="2"/>
          <w:sz w:val="32"/>
          <w:szCs w:val="32"/>
          <w:highlight w:val="none"/>
          <w:lang w:val="zh-CN" w:eastAsia="zh-CN" w:bidi="ar-SA"/>
        </w:rPr>
        <w:t>元，在建工程</w:t>
      </w:r>
      <w:r>
        <w:rPr>
          <w:rFonts w:ascii="Times New Roman" w:eastAsia="方正仿宋_GBK" w:hAnsi="Times New Roman" w:cs="方正仿宋_GBK" w:hint="eastAsia"/>
          <w:bCs/>
          <w:color w:val="auto"/>
          <w:kern w:val="2"/>
          <w:sz w:val="32"/>
          <w:szCs w:val="32"/>
          <w:highlight w:val="none"/>
          <w:lang w:val="en-US" w:eastAsia="zh-CN" w:bidi="ar-SA"/>
        </w:rPr>
        <w:t>368</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en-US" w:eastAsia="zh-CN" w:bidi="ar-SA"/>
        </w:rPr>
        <w:t>790.00</w:t>
      </w:r>
      <w:r>
        <w:rPr>
          <w:rFonts w:ascii="Times New Roman" w:eastAsia="方正仿宋_GBK" w:hAnsi="Times New Roman" w:cs="方正仿宋_GBK" w:hint="eastAsia"/>
          <w:bCs/>
          <w:color w:val="auto"/>
          <w:kern w:val="2"/>
          <w:sz w:val="32"/>
          <w:szCs w:val="32"/>
          <w:highlight w:val="none"/>
          <w:lang w:val="zh-CN" w:eastAsia="zh-CN" w:bidi="ar-SA"/>
        </w:rPr>
        <w:t>元，无形资产</w:t>
      </w:r>
      <w:r>
        <w:rPr>
          <w:rFonts w:ascii="Times New Roman" w:eastAsia="方正仿宋_GBK" w:hAnsi="Times New Roman" w:cs="方正仿宋_GBK" w:hint="eastAsia"/>
          <w:bCs/>
          <w:color w:val="auto"/>
          <w:kern w:val="2"/>
          <w:sz w:val="32"/>
          <w:szCs w:val="32"/>
          <w:highlight w:val="none"/>
          <w:lang w:val="en-US" w:eastAsia="zh-CN" w:bidi="ar-SA"/>
        </w:rPr>
        <w:t>3</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en-US" w:eastAsia="zh-CN" w:bidi="ar-SA"/>
        </w:rPr>
        <w:t>501</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en-US" w:eastAsia="zh-CN" w:bidi="ar-SA"/>
        </w:rPr>
        <w:t>179.19</w:t>
      </w:r>
      <w:r>
        <w:rPr>
          <w:rFonts w:ascii="Times New Roman" w:eastAsia="方正仿宋_GBK" w:hAnsi="Times New Roman" w:cs="方正仿宋_GBK" w:hint="eastAsia"/>
          <w:bCs/>
          <w:color w:val="auto"/>
          <w:kern w:val="2"/>
          <w:sz w:val="32"/>
          <w:szCs w:val="32"/>
          <w:highlight w:val="none"/>
          <w:lang w:val="zh-CN" w:eastAsia="zh-CN" w:bidi="ar-SA"/>
        </w:rPr>
        <w:t>元（净值），其他资产</w:t>
      </w:r>
      <w:r>
        <w:rPr>
          <w:rFonts w:ascii="Times New Roman" w:eastAsia="方正仿宋_GBK" w:hAnsi="Times New Roman" w:cs="方正仿宋_GBK" w:hint="eastAsia"/>
          <w:bCs/>
          <w:color w:val="auto"/>
          <w:kern w:val="2"/>
          <w:sz w:val="32"/>
          <w:szCs w:val="32"/>
          <w:highlight w:val="none"/>
          <w:lang w:val="en-US" w:eastAsia="zh-CN" w:bidi="ar-SA"/>
        </w:rPr>
        <w:t>0.00</w:t>
      </w:r>
      <w:r>
        <w:rPr>
          <w:rFonts w:ascii="Times New Roman" w:eastAsia="方正仿宋_GBK" w:hAnsi="Times New Roman" w:cs="方正仿宋_GBK" w:hint="eastAsia"/>
          <w:bCs/>
          <w:color w:val="auto"/>
          <w:kern w:val="2"/>
          <w:sz w:val="32"/>
          <w:szCs w:val="32"/>
          <w:highlight w:val="none"/>
          <w:lang w:val="zh-CN" w:eastAsia="zh-CN" w:bidi="ar-SA"/>
        </w:rPr>
        <w:t>元（净值）（具体内容详见附表）。与上年相比，本年资产总额增加</w:t>
      </w:r>
      <w:r>
        <w:rPr>
          <w:rFonts w:ascii="Times New Roman" w:eastAsia="方正仿宋_GBK" w:hAnsi="Times New Roman" w:cs="方正仿宋_GBK" w:hint="eastAsia"/>
          <w:bCs/>
          <w:color w:val="auto"/>
          <w:kern w:val="2"/>
          <w:sz w:val="32"/>
          <w:szCs w:val="32"/>
          <w:highlight w:val="none"/>
          <w:lang w:val="en-US" w:eastAsia="zh-CN" w:bidi="ar-SA"/>
        </w:rPr>
        <w:t>226</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en-US" w:eastAsia="zh-CN" w:bidi="ar-SA"/>
        </w:rPr>
        <w:t>859.46</w:t>
      </w:r>
      <w:r>
        <w:rPr>
          <w:rFonts w:ascii="Times New Roman" w:eastAsia="方正仿宋_GBK" w:hAnsi="Times New Roman" w:cs="方正仿宋_GBK" w:hint="eastAsia"/>
          <w:bCs/>
          <w:color w:val="auto"/>
          <w:kern w:val="2"/>
          <w:sz w:val="32"/>
          <w:szCs w:val="32"/>
          <w:highlight w:val="none"/>
          <w:lang w:val="zh-CN" w:eastAsia="zh-CN" w:bidi="ar-SA"/>
        </w:rPr>
        <w:t>元，其中固定资产增加</w:t>
      </w:r>
      <w:r>
        <w:rPr>
          <w:rFonts w:ascii="Times New Roman" w:eastAsia="方正仿宋_GBK" w:hAnsi="Times New Roman" w:cs="方正仿宋_GBK" w:hint="eastAsia"/>
          <w:bCs/>
          <w:color w:val="auto"/>
          <w:kern w:val="2"/>
          <w:sz w:val="32"/>
          <w:szCs w:val="32"/>
          <w:highlight w:val="none"/>
          <w:lang w:val="en-US" w:eastAsia="zh-CN" w:bidi="ar-SA"/>
        </w:rPr>
        <w:t>665</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en-US" w:eastAsia="zh-CN" w:bidi="ar-SA"/>
        </w:rPr>
        <w:t>802.66</w:t>
      </w:r>
      <w:r>
        <w:rPr>
          <w:rFonts w:ascii="Times New Roman" w:eastAsia="方正仿宋_GBK" w:hAnsi="Times New Roman" w:cs="方正仿宋_GBK" w:hint="eastAsia"/>
          <w:bCs/>
          <w:color w:val="auto"/>
          <w:kern w:val="2"/>
          <w:sz w:val="32"/>
          <w:szCs w:val="32"/>
          <w:highlight w:val="none"/>
          <w:lang w:val="zh-CN" w:eastAsia="zh-CN" w:bidi="ar-SA"/>
        </w:rPr>
        <w:t>元。处置房屋建筑物</w:t>
      </w:r>
      <w:r>
        <w:rPr>
          <w:rFonts w:ascii="Times New Roman" w:eastAsia="方正仿宋_GBK" w:hAnsi="Times New Roman" w:cs="方正仿宋_GBK" w:hint="eastAsia"/>
          <w:bCs/>
          <w:color w:val="auto"/>
          <w:kern w:val="2"/>
          <w:sz w:val="32"/>
          <w:szCs w:val="32"/>
          <w:highlight w:val="none"/>
          <w:lang w:val="en-US" w:eastAsia="zh-CN" w:bidi="ar-SA"/>
        </w:rPr>
        <w:t>0.00</w:t>
      </w:r>
      <w:r>
        <w:rPr>
          <w:rFonts w:ascii="Times New Roman" w:eastAsia="方正仿宋_GBK" w:hAnsi="Times New Roman" w:cs="方正仿宋_GBK" w:hint="eastAsia"/>
          <w:bCs/>
          <w:color w:val="auto"/>
          <w:kern w:val="2"/>
          <w:sz w:val="32"/>
          <w:szCs w:val="32"/>
          <w:highlight w:val="none"/>
          <w:lang w:val="zh-CN" w:eastAsia="zh-CN" w:bidi="ar-SA"/>
        </w:rPr>
        <w:t>平方米，账面原值</w:t>
      </w:r>
      <w:r>
        <w:rPr>
          <w:rFonts w:ascii="Times New Roman" w:eastAsia="方正仿宋_GBK" w:hAnsi="Times New Roman" w:cs="方正仿宋_GBK" w:hint="eastAsia"/>
          <w:bCs/>
          <w:color w:val="auto"/>
          <w:kern w:val="2"/>
          <w:sz w:val="32"/>
          <w:szCs w:val="32"/>
          <w:highlight w:val="none"/>
          <w:lang w:val="en-US" w:eastAsia="zh-CN" w:bidi="ar-SA"/>
        </w:rPr>
        <w:t>0.00</w:t>
      </w:r>
      <w:r>
        <w:rPr>
          <w:rFonts w:ascii="Times New Roman" w:eastAsia="方正仿宋_GBK" w:hAnsi="Times New Roman" w:cs="方正仿宋_GBK" w:hint="eastAsia"/>
          <w:bCs/>
          <w:color w:val="auto"/>
          <w:kern w:val="2"/>
          <w:sz w:val="32"/>
          <w:szCs w:val="32"/>
          <w:highlight w:val="none"/>
          <w:lang w:val="zh-CN" w:eastAsia="zh-CN" w:bidi="ar-SA"/>
        </w:rPr>
        <w:t>元；处置车辆</w:t>
      </w:r>
      <w:r>
        <w:rPr>
          <w:rFonts w:ascii="Times New Roman" w:eastAsia="方正仿宋_GBK" w:hAnsi="Times New Roman" w:cs="方正仿宋_GBK" w:hint="eastAsia"/>
          <w:bCs/>
          <w:color w:val="auto"/>
          <w:kern w:val="2"/>
          <w:sz w:val="32"/>
          <w:szCs w:val="32"/>
          <w:highlight w:val="none"/>
          <w:lang w:val="en-US" w:eastAsia="zh-CN" w:bidi="ar-SA"/>
        </w:rPr>
        <w:t>0</w:t>
      </w:r>
      <w:r>
        <w:rPr>
          <w:rFonts w:ascii="Times New Roman" w:eastAsia="方正仿宋_GBK" w:hAnsi="Times New Roman" w:cs="方正仿宋_GBK" w:hint="eastAsia"/>
          <w:bCs/>
          <w:color w:val="auto"/>
          <w:kern w:val="2"/>
          <w:sz w:val="32"/>
          <w:szCs w:val="32"/>
          <w:highlight w:val="none"/>
          <w:lang w:val="zh-CN" w:eastAsia="zh-CN" w:bidi="ar-SA"/>
        </w:rPr>
        <w:t>辆，账面原值</w:t>
      </w:r>
      <w:r>
        <w:rPr>
          <w:rFonts w:ascii="Times New Roman" w:eastAsia="方正仿宋_GBK" w:hAnsi="Times New Roman" w:cs="方正仿宋_GBK" w:hint="eastAsia"/>
          <w:bCs/>
          <w:color w:val="auto"/>
          <w:kern w:val="2"/>
          <w:sz w:val="32"/>
          <w:szCs w:val="32"/>
          <w:highlight w:val="none"/>
          <w:lang w:val="en-US" w:eastAsia="zh-CN" w:bidi="ar-SA"/>
        </w:rPr>
        <w:t>0.00</w:t>
      </w:r>
      <w:r>
        <w:rPr>
          <w:rFonts w:ascii="Times New Roman" w:eastAsia="方正仿宋_GBK" w:hAnsi="Times New Roman" w:cs="方正仿宋_GBK" w:hint="eastAsia"/>
          <w:bCs/>
          <w:color w:val="auto"/>
          <w:kern w:val="2"/>
          <w:sz w:val="32"/>
          <w:szCs w:val="32"/>
          <w:highlight w:val="none"/>
          <w:lang w:val="zh-CN" w:eastAsia="zh-CN" w:bidi="ar-SA"/>
        </w:rPr>
        <w:t>元；报废报损资产</w:t>
      </w:r>
      <w:r>
        <w:rPr>
          <w:rFonts w:ascii="Times New Roman" w:eastAsia="方正仿宋_GBK" w:hAnsi="Times New Roman" w:cs="方正仿宋_GBK" w:hint="eastAsia"/>
          <w:bCs/>
          <w:color w:val="auto"/>
          <w:kern w:val="2"/>
          <w:sz w:val="32"/>
          <w:szCs w:val="32"/>
          <w:highlight w:val="none"/>
          <w:lang w:val="en-US" w:eastAsia="zh-CN" w:bidi="ar-SA"/>
        </w:rPr>
        <w:t>0</w:t>
      </w:r>
      <w:r>
        <w:rPr>
          <w:rFonts w:ascii="Times New Roman" w:eastAsia="方正仿宋_GBK" w:hAnsi="Times New Roman" w:cs="方正仿宋_GBK" w:hint="eastAsia"/>
          <w:bCs/>
          <w:color w:val="auto"/>
          <w:kern w:val="2"/>
          <w:sz w:val="32"/>
          <w:szCs w:val="32"/>
          <w:highlight w:val="none"/>
          <w:lang w:val="zh-CN" w:eastAsia="zh-CN" w:bidi="ar-SA"/>
        </w:rPr>
        <w:t>项，账面原值</w:t>
      </w:r>
      <w:r>
        <w:rPr>
          <w:rFonts w:ascii="Times New Roman" w:eastAsia="方正仿宋_GBK" w:hAnsi="Times New Roman" w:cs="方正仿宋_GBK" w:hint="eastAsia"/>
          <w:bCs/>
          <w:color w:val="auto"/>
          <w:kern w:val="2"/>
          <w:sz w:val="32"/>
          <w:szCs w:val="32"/>
          <w:highlight w:val="none"/>
          <w:lang w:val="en-US" w:eastAsia="zh-CN" w:bidi="ar-SA"/>
        </w:rPr>
        <w:t>0.00</w:t>
      </w:r>
      <w:r>
        <w:rPr>
          <w:rFonts w:ascii="Times New Roman" w:eastAsia="方正仿宋_GBK" w:hAnsi="Times New Roman" w:cs="方正仿宋_GBK" w:hint="eastAsia"/>
          <w:bCs/>
          <w:color w:val="auto"/>
          <w:kern w:val="2"/>
          <w:sz w:val="32"/>
          <w:szCs w:val="32"/>
          <w:highlight w:val="none"/>
          <w:lang w:val="zh-CN" w:eastAsia="zh-CN" w:bidi="ar-SA"/>
        </w:rPr>
        <w:t>元，实现资产处置收入</w:t>
      </w:r>
      <w:r>
        <w:rPr>
          <w:rFonts w:ascii="Times New Roman" w:eastAsia="方正仿宋_GBK" w:hAnsi="Times New Roman" w:cs="方正仿宋_GBK" w:hint="eastAsia"/>
          <w:bCs/>
          <w:color w:val="auto"/>
          <w:kern w:val="2"/>
          <w:sz w:val="32"/>
          <w:szCs w:val="32"/>
          <w:highlight w:val="none"/>
          <w:lang w:val="en-US" w:eastAsia="zh-CN" w:bidi="ar-SA"/>
        </w:rPr>
        <w:t>0.00</w:t>
      </w:r>
      <w:r>
        <w:rPr>
          <w:rFonts w:ascii="Times New Roman" w:eastAsia="方正仿宋_GBK" w:hAnsi="Times New Roman" w:cs="方正仿宋_GBK" w:hint="eastAsia"/>
          <w:bCs/>
          <w:color w:val="auto"/>
          <w:kern w:val="2"/>
          <w:sz w:val="32"/>
          <w:szCs w:val="32"/>
          <w:highlight w:val="none"/>
          <w:lang w:val="zh-CN" w:eastAsia="zh-CN" w:bidi="ar-SA"/>
        </w:rPr>
        <w:t>元；出租房屋</w:t>
      </w:r>
      <w:r>
        <w:rPr>
          <w:rFonts w:ascii="Times New Roman" w:eastAsia="方正仿宋_GBK" w:hAnsi="Times New Roman" w:cs="方正仿宋_GBK" w:hint="eastAsia"/>
          <w:bCs/>
          <w:color w:val="auto"/>
          <w:kern w:val="2"/>
          <w:sz w:val="32"/>
          <w:szCs w:val="32"/>
          <w:highlight w:val="none"/>
          <w:lang w:val="en-US" w:eastAsia="zh-CN" w:bidi="ar-SA"/>
        </w:rPr>
        <w:t>0.00</w:t>
      </w:r>
      <w:r>
        <w:rPr>
          <w:rFonts w:ascii="Times New Roman" w:eastAsia="方正仿宋_GBK" w:hAnsi="Times New Roman" w:cs="方正仿宋_GBK" w:hint="eastAsia"/>
          <w:bCs/>
          <w:color w:val="auto"/>
          <w:kern w:val="2"/>
          <w:sz w:val="32"/>
          <w:szCs w:val="32"/>
          <w:highlight w:val="none"/>
          <w:lang w:val="zh-CN" w:eastAsia="zh-CN" w:bidi="ar-SA"/>
        </w:rPr>
        <w:t>平方米，账面原值</w:t>
      </w:r>
      <w:r>
        <w:rPr>
          <w:rFonts w:ascii="Times New Roman" w:eastAsia="方正仿宋_GBK" w:hAnsi="Times New Roman" w:cs="方正仿宋_GBK" w:hint="eastAsia"/>
          <w:bCs/>
          <w:color w:val="auto"/>
          <w:kern w:val="2"/>
          <w:sz w:val="32"/>
          <w:szCs w:val="32"/>
          <w:highlight w:val="none"/>
          <w:lang w:val="en-US" w:eastAsia="zh-CN" w:bidi="ar-SA"/>
        </w:rPr>
        <w:t>0.00</w:t>
      </w:r>
      <w:r>
        <w:rPr>
          <w:rFonts w:ascii="Times New Roman" w:eastAsia="方正仿宋_GBK" w:hAnsi="Times New Roman" w:cs="方正仿宋_GBK" w:hint="eastAsia"/>
          <w:bCs/>
          <w:color w:val="auto"/>
          <w:kern w:val="2"/>
          <w:sz w:val="32"/>
          <w:szCs w:val="32"/>
          <w:highlight w:val="none"/>
          <w:lang w:val="zh-CN" w:eastAsia="zh-CN" w:bidi="ar-SA"/>
        </w:rPr>
        <w:t>元，实现资产使用收入</w:t>
      </w:r>
      <w:r>
        <w:rPr>
          <w:rFonts w:ascii="Times New Roman" w:eastAsia="方正仿宋_GBK" w:hAnsi="Times New Roman" w:cs="方正仿宋_GBK" w:hint="eastAsia"/>
          <w:bCs/>
          <w:color w:val="auto"/>
          <w:kern w:val="2"/>
          <w:sz w:val="32"/>
          <w:szCs w:val="32"/>
          <w:highlight w:val="none"/>
          <w:lang w:val="en-US" w:eastAsia="zh-CN" w:bidi="ar-SA"/>
        </w:rPr>
        <w:t>0.00</w:t>
      </w:r>
      <w:r>
        <w:rPr>
          <w:rFonts w:ascii="Times New Roman" w:eastAsia="方正仿宋_GBK" w:hAnsi="Times New Roman" w:cs="方正仿宋_GBK" w:hint="eastAsia"/>
          <w:bCs/>
          <w:color w:val="auto"/>
          <w:kern w:val="2"/>
          <w:sz w:val="32"/>
          <w:szCs w:val="32"/>
          <w:highlight w:val="none"/>
          <w:lang w:val="zh-CN" w:eastAsia="zh-CN" w:bidi="ar-SA"/>
        </w:rPr>
        <w:t>元。</w:t>
      </w:r>
    </w:p>
    <w:p w14:paraId="6AA0A61B">
      <w:pPr>
        <w:keepNext w:val="0"/>
        <w:keepLines w:val="0"/>
        <w:pageBreakBefore w:val="0"/>
        <w:kinsoku/>
        <w:wordWrap/>
        <w:overflowPunct/>
        <w:topLinePunct w:val="0"/>
        <w:autoSpaceDE/>
        <w:autoSpaceDN/>
        <w:bidi w:val="0"/>
        <w:spacing w:line="590" w:lineRule="exact"/>
        <w:ind w:firstLine="640" w:firstLineChars="200"/>
        <w:textAlignment w:val="auto"/>
        <w:rPr>
          <w:rFonts w:ascii="仿宋_GB2312" w:eastAsia="仿宋_GB2312" w:hAnsi="黑体" w:cs="方正小标宋简体" w:hint="eastAsia"/>
          <w:color w:val="000000"/>
          <w:kern w:val="0"/>
          <w:sz w:val="30"/>
          <w:szCs w:val="30"/>
          <w:highlight w:val="none"/>
          <w:lang w:eastAsia="zh-CN"/>
        </w:rPr>
      </w:pPr>
      <w:r>
        <w:rPr>
          <w:rFonts w:ascii="Times New Roman" w:eastAsia="方正仿宋_GBK" w:hAnsi="Times New Roman" w:cs="方正仿宋_GBK" w:hint="eastAsia"/>
          <w:bCs/>
          <w:color w:val="auto"/>
          <w:kern w:val="2"/>
          <w:sz w:val="32"/>
          <w:szCs w:val="32"/>
          <w:highlight w:val="none"/>
          <w:lang w:val="zh-CN" w:eastAsia="zh-CN" w:bidi="ar-SA"/>
        </w:rPr>
        <w:t>（国有资产占有使用情况表详见附表）</w:t>
      </w:r>
    </w:p>
    <w:tbl>
      <w:tblPr>
        <w:tblStyle w:val="TableNormal"/>
        <w:tblpPr w:leftFromText="180" w:rightFromText="180" w:topFromText="100" w:bottomFromText="100" w:vertAnchor="text" w:horzAnchor="page" w:tblpX="534" w:tblpY="490"/>
        <w:tblOverlap w:val="never"/>
        <w:tblW w:w="240" w:type="dxa"/>
        <w:tblInd w:w="-15" w:type="dxa"/>
        <w:tblLayout w:type="fixed"/>
        <w:tblCellMar>
          <w:top w:w="0" w:type="dxa"/>
          <w:left w:w="0" w:type="dxa"/>
          <w:bottom w:w="0" w:type="dxa"/>
          <w:right w:w="0" w:type="dxa"/>
        </w:tblCellMar>
      </w:tblPr>
      <w:tblGrid>
        <w:gridCol w:w="240"/>
      </w:tblGrid>
      <w:tr w14:paraId="53C56A59">
        <w:tblPrEx>
          <w:tblW w:w="240" w:type="dxa"/>
          <w:tblInd w:w="-15" w:type="dxa"/>
          <w:tblLayout w:type="fixed"/>
          <w:tblCellMar>
            <w:top w:w="0" w:type="dxa"/>
            <w:left w:w="0" w:type="dxa"/>
            <w:bottom w:w="0" w:type="dxa"/>
            <w:right w:w="0" w:type="dxa"/>
          </w:tblCellMar>
        </w:tblPrEx>
        <w:trPr>
          <w:trHeight w:val="415"/>
        </w:trPr>
        <w:tc>
          <w:tcPr>
            <w:tcW w:w="240" w:type="dxa"/>
            <w:tcBorders>
              <w:top w:val="nil"/>
              <w:left w:val="nil"/>
              <w:bottom w:val="nil"/>
              <w:right w:val="nil"/>
            </w:tcBorders>
            <w:noWrap w:val="0"/>
            <w:vAlign w:val="center"/>
          </w:tcPr>
          <w:p w14:paraId="48FB423A">
            <w:pPr>
              <w:keepNext w:val="0"/>
              <w:keepLines w:val="0"/>
              <w:pageBreakBefore w:val="0"/>
              <w:widowControl/>
              <w:kinsoku/>
              <w:wordWrap/>
              <w:overflowPunct/>
              <w:topLinePunct w:val="0"/>
              <w:autoSpaceDE/>
              <w:autoSpaceDN/>
              <w:bidi w:val="0"/>
              <w:spacing w:line="590" w:lineRule="exact"/>
              <w:jc w:val="left"/>
              <w:textAlignment w:val="auto"/>
              <w:rPr>
                <w:rFonts w:ascii="宋体" w:hAnsi="宋体" w:cs="宋体"/>
                <w:color w:val="000000"/>
                <w:kern w:val="0"/>
                <w:sz w:val="17"/>
                <w:szCs w:val="17"/>
                <w:highlight w:val="none"/>
              </w:rPr>
            </w:pPr>
          </w:p>
        </w:tc>
      </w:tr>
      <w:tr w14:paraId="6D691E78">
        <w:tblPrEx>
          <w:tblW w:w="240" w:type="dxa"/>
          <w:tblInd w:w="-15" w:type="dxa"/>
          <w:tblLayout w:type="fixed"/>
          <w:tblCellMar>
            <w:top w:w="0" w:type="dxa"/>
            <w:left w:w="0" w:type="dxa"/>
            <w:bottom w:w="0" w:type="dxa"/>
            <w:right w:w="0" w:type="dxa"/>
          </w:tblCellMar>
        </w:tblPrEx>
        <w:trPr>
          <w:trHeight w:val="345"/>
        </w:trPr>
        <w:tc>
          <w:tcPr>
            <w:tcW w:w="240" w:type="dxa"/>
            <w:tcBorders>
              <w:top w:val="nil"/>
              <w:left w:val="nil"/>
              <w:bottom w:val="nil"/>
              <w:right w:val="nil"/>
            </w:tcBorders>
            <w:noWrap w:val="0"/>
            <w:vAlign w:val="center"/>
          </w:tcPr>
          <w:p w14:paraId="6B96C1E8">
            <w:pPr>
              <w:keepNext w:val="0"/>
              <w:keepLines w:val="0"/>
              <w:pageBreakBefore w:val="0"/>
              <w:widowControl/>
              <w:kinsoku/>
              <w:wordWrap/>
              <w:overflowPunct/>
              <w:topLinePunct w:val="0"/>
              <w:autoSpaceDE/>
              <w:autoSpaceDN/>
              <w:bidi w:val="0"/>
              <w:spacing w:line="240" w:lineRule="auto"/>
              <w:jc w:val="left"/>
              <w:textAlignment w:val="auto"/>
              <w:rPr>
                <w:rFonts w:ascii="宋体" w:hAnsi="宋体" w:cs="宋体"/>
                <w:color w:val="000000"/>
                <w:kern w:val="0"/>
                <w:sz w:val="17"/>
                <w:szCs w:val="17"/>
                <w:highlight w:val="none"/>
              </w:rPr>
            </w:pPr>
          </w:p>
        </w:tc>
      </w:tr>
      <w:tr w14:paraId="4AEA434C">
        <w:tblPrEx>
          <w:tblW w:w="240" w:type="dxa"/>
          <w:tblInd w:w="-15" w:type="dxa"/>
          <w:tblLayout w:type="fixed"/>
          <w:tblCellMar>
            <w:top w:w="0" w:type="dxa"/>
            <w:left w:w="0" w:type="dxa"/>
            <w:bottom w:w="0" w:type="dxa"/>
            <w:right w:w="0" w:type="dxa"/>
          </w:tblCellMar>
        </w:tblPrEx>
        <w:trPr>
          <w:trHeight w:val="395"/>
        </w:trPr>
        <w:tc>
          <w:tcPr>
            <w:tcW w:w="240" w:type="dxa"/>
            <w:tcBorders>
              <w:top w:val="nil"/>
              <w:left w:val="nil"/>
              <w:bottom w:val="nil"/>
              <w:right w:val="nil"/>
            </w:tcBorders>
            <w:noWrap w:val="0"/>
            <w:vAlign w:val="center"/>
          </w:tcPr>
          <w:p w14:paraId="313CCCF2">
            <w:pPr>
              <w:keepNext w:val="0"/>
              <w:keepLines w:val="0"/>
              <w:pageBreakBefore w:val="0"/>
              <w:widowControl/>
              <w:kinsoku/>
              <w:wordWrap/>
              <w:overflowPunct/>
              <w:topLinePunct w:val="0"/>
              <w:autoSpaceDE/>
              <w:autoSpaceDN/>
              <w:bidi w:val="0"/>
              <w:spacing w:line="590" w:lineRule="exact"/>
              <w:jc w:val="left"/>
              <w:textAlignment w:val="auto"/>
              <w:rPr>
                <w:rFonts w:ascii="宋体" w:hAnsi="宋体" w:cs="宋体"/>
                <w:color w:val="000000"/>
                <w:kern w:val="0"/>
                <w:sz w:val="17"/>
                <w:szCs w:val="17"/>
                <w:highlight w:val="none"/>
              </w:rPr>
            </w:pPr>
          </w:p>
        </w:tc>
      </w:tr>
    </w:tbl>
    <w:p w14:paraId="757D7857">
      <w:pPr>
        <w:keepNext w:val="0"/>
        <w:keepLines w:val="0"/>
        <w:pageBreakBefore w:val="0"/>
        <w:kinsoku/>
        <w:wordWrap/>
        <w:overflowPunct/>
        <w:topLinePunct w:val="0"/>
        <w:autoSpaceDE/>
        <w:autoSpaceDN/>
        <w:bidi w:val="0"/>
        <w:spacing w:line="590" w:lineRule="exact"/>
        <w:ind w:firstLine="640" w:firstLineChars="200"/>
        <w:jc w:val="left"/>
        <w:textAlignment w:val="auto"/>
        <w:outlineLvl w:val="1"/>
        <w:rPr>
          <w:rFonts w:ascii="方正黑体_GBK" w:eastAsia="方正黑体_GBK" w:hAnsi="方正黑体_GBK" w:cs="方正黑体_GBK" w:hint="eastAsia"/>
          <w:sz w:val="32"/>
          <w:szCs w:val="32"/>
          <w:highlight w:val="none"/>
          <w:lang w:eastAsia="zh-CN"/>
        </w:rPr>
      </w:pPr>
      <w:r>
        <w:rPr>
          <w:rFonts w:ascii="方正黑体_GBK" w:eastAsia="方正黑体_GBK" w:hAnsi="方正黑体_GBK" w:cs="方正黑体_GBK" w:hint="eastAsia"/>
          <w:sz w:val="32"/>
          <w:szCs w:val="32"/>
          <w:highlight w:val="none"/>
          <w:lang w:eastAsia="zh-CN"/>
        </w:rPr>
        <w:t>三、政府采购支出情况</w:t>
      </w:r>
    </w:p>
    <w:p w14:paraId="56A183EF">
      <w:pPr>
        <w:keepNext w:val="0"/>
        <w:keepLines w:val="0"/>
        <w:pageBreakBefore w:val="0"/>
        <w:kinsoku/>
        <w:wordWrap/>
        <w:overflowPunct/>
        <w:topLinePunct w:val="0"/>
        <w:autoSpaceDE/>
        <w:autoSpaceDN/>
        <w:bidi w:val="0"/>
        <w:spacing w:line="590" w:lineRule="exact"/>
        <w:ind w:firstLine="640" w:firstLineChars="200"/>
        <w:textAlignment w:val="auto"/>
        <w:rPr>
          <w:rFonts w:ascii="仿宋_GB2312" w:eastAsia="仿宋_GB2312" w:hAnsi="仿宋_GB2312" w:cs="仿宋_GB2312" w:hint="eastAsia"/>
          <w:sz w:val="30"/>
          <w:szCs w:val="30"/>
          <w:highlight w:val="none"/>
          <w:lang w:val="en-US" w:eastAsia="zh-CN"/>
        </w:rPr>
      </w:pPr>
      <w:r>
        <w:rPr>
          <w:rFonts w:ascii="Times New Roman" w:eastAsia="方正仿宋_GBK" w:hAnsi="Times New Roman" w:cs="方正仿宋_GBK" w:hint="eastAsia"/>
          <w:bCs/>
          <w:color w:val="auto"/>
          <w:kern w:val="2"/>
          <w:sz w:val="32"/>
          <w:szCs w:val="32"/>
          <w:highlight w:val="none"/>
          <w:lang w:val="en-US" w:eastAsia="zh-CN" w:bidi="ar-SA"/>
        </w:rPr>
        <w:t>2024年度，单位政府采购支出总额</w:t>
      </w:r>
      <w:r>
        <w:rPr>
          <w:rFonts w:ascii="Times New Roman" w:eastAsia="方正仿宋_GBK" w:hAnsi="Times New Roman" w:cs="方正仿宋_GBK" w:hint="eastAsia"/>
          <w:bCs/>
          <w:color w:val="auto"/>
          <w:kern w:val="2"/>
          <w:sz w:val="32"/>
          <w:szCs w:val="32"/>
          <w:highlight w:val="none"/>
          <w:lang w:val="zh-CN" w:eastAsia="zh-CN" w:bidi="ar-SA"/>
        </w:rPr>
        <w:t>309</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455.32</w:t>
      </w:r>
      <w:r>
        <w:rPr>
          <w:rFonts w:ascii="Times New Roman" w:eastAsia="方正仿宋_GBK" w:hAnsi="Times New Roman" w:cs="方正仿宋_GBK" w:hint="eastAsia"/>
          <w:bCs/>
          <w:color w:val="auto"/>
          <w:kern w:val="2"/>
          <w:sz w:val="32"/>
          <w:szCs w:val="32"/>
          <w:highlight w:val="none"/>
          <w:lang w:val="en-US" w:eastAsia="zh-CN" w:bidi="ar-SA"/>
        </w:rPr>
        <w:t>元，其中：政府采购货物支出</w:t>
      </w:r>
      <w:r>
        <w:rPr>
          <w:rFonts w:ascii="Times New Roman" w:eastAsia="方正仿宋_GBK" w:hAnsi="Times New Roman" w:cs="方正仿宋_GBK" w:hint="eastAsia"/>
          <w:bCs/>
          <w:color w:val="auto"/>
          <w:kern w:val="2"/>
          <w:sz w:val="32"/>
          <w:szCs w:val="32"/>
          <w:highlight w:val="none"/>
          <w:lang w:val="zh-CN" w:eastAsia="zh-CN" w:bidi="ar-SA"/>
        </w:rPr>
        <w:t>309</w:t>
      </w:r>
      <w:r>
        <w:rPr>
          <w:rFonts w:eastAsia="方正仿宋_GBK" w:cs="方正仿宋_GBK" w:hint="eastAsia"/>
          <w:bCs/>
          <w:color w:val="auto"/>
          <w:kern w:val="2"/>
          <w:sz w:val="32"/>
          <w:szCs w:val="32"/>
          <w:highlight w:val="none"/>
          <w:lang w:val="en-US" w:eastAsia="zh-CN" w:bidi="ar-SA"/>
        </w:rPr>
        <w:t>,</w:t>
      </w:r>
      <w:r>
        <w:rPr>
          <w:rFonts w:ascii="Times New Roman" w:eastAsia="方正仿宋_GBK" w:hAnsi="Times New Roman" w:cs="方正仿宋_GBK" w:hint="eastAsia"/>
          <w:bCs/>
          <w:color w:val="auto"/>
          <w:kern w:val="2"/>
          <w:sz w:val="32"/>
          <w:szCs w:val="32"/>
          <w:highlight w:val="none"/>
          <w:lang w:val="zh-CN" w:eastAsia="zh-CN" w:bidi="ar-SA"/>
        </w:rPr>
        <w:t>455.32</w:t>
      </w:r>
      <w:r>
        <w:rPr>
          <w:rFonts w:ascii="Times New Roman" w:eastAsia="方正仿宋_GBK" w:hAnsi="Times New Roman" w:cs="方正仿宋_GBK" w:hint="eastAsia"/>
          <w:bCs/>
          <w:color w:val="auto"/>
          <w:kern w:val="2"/>
          <w:sz w:val="32"/>
          <w:szCs w:val="32"/>
          <w:highlight w:val="none"/>
          <w:lang w:val="en-US" w:eastAsia="zh-CN" w:bidi="ar-SA"/>
        </w:rPr>
        <w:t>元；政府采购工程支出</w:t>
      </w:r>
      <w:r>
        <w:rPr>
          <w:rFonts w:ascii="Times New Roman" w:eastAsia="方正仿宋_GBK" w:hAnsi="Times New Roman" w:cs="方正仿宋_GBK" w:hint="eastAsia"/>
          <w:bCs/>
          <w:color w:val="auto"/>
          <w:kern w:val="2"/>
          <w:sz w:val="32"/>
          <w:szCs w:val="32"/>
          <w:highlight w:val="none"/>
          <w:lang w:val="zh-CN" w:eastAsia="zh-CN" w:bidi="ar-SA"/>
        </w:rPr>
        <w:t>0.00</w:t>
      </w:r>
      <w:r>
        <w:rPr>
          <w:rFonts w:ascii="Times New Roman" w:eastAsia="方正仿宋_GBK" w:hAnsi="Times New Roman" w:cs="方正仿宋_GBK" w:hint="eastAsia"/>
          <w:bCs/>
          <w:color w:val="auto"/>
          <w:kern w:val="2"/>
          <w:sz w:val="32"/>
          <w:szCs w:val="32"/>
          <w:highlight w:val="none"/>
          <w:lang w:val="en-US" w:eastAsia="zh-CN" w:bidi="ar-SA"/>
        </w:rPr>
        <w:t>元；政府采购服务支出</w:t>
      </w:r>
      <w:r>
        <w:rPr>
          <w:rFonts w:ascii="Times New Roman" w:eastAsia="方正仿宋_GBK" w:hAnsi="Times New Roman" w:cs="方正仿宋_GBK" w:hint="eastAsia"/>
          <w:bCs/>
          <w:color w:val="auto"/>
          <w:kern w:val="2"/>
          <w:sz w:val="32"/>
          <w:szCs w:val="32"/>
          <w:highlight w:val="none"/>
          <w:lang w:val="zh-CN" w:eastAsia="zh-CN" w:bidi="ar-SA"/>
        </w:rPr>
        <w:t>0.00</w:t>
      </w:r>
      <w:r>
        <w:rPr>
          <w:rFonts w:ascii="Times New Roman" w:eastAsia="方正仿宋_GBK" w:hAnsi="Times New Roman" w:cs="方正仿宋_GBK" w:hint="eastAsia"/>
          <w:bCs/>
          <w:color w:val="auto"/>
          <w:kern w:val="2"/>
          <w:sz w:val="32"/>
          <w:szCs w:val="32"/>
          <w:highlight w:val="none"/>
          <w:lang w:val="en-US" w:eastAsia="zh-CN" w:bidi="ar-SA"/>
        </w:rPr>
        <w:t>元。授予中小企业合同金额</w:t>
      </w:r>
      <w:r>
        <w:rPr>
          <w:rFonts w:ascii="Times New Roman" w:eastAsia="方正仿宋_GBK" w:hAnsi="Times New Roman" w:cs="方正仿宋_GBK" w:hint="eastAsia"/>
          <w:bCs/>
          <w:color w:val="auto"/>
          <w:kern w:val="2"/>
          <w:sz w:val="32"/>
          <w:szCs w:val="32"/>
          <w:highlight w:val="none"/>
          <w:lang w:val="zh-CN" w:eastAsia="zh-CN" w:bidi="ar-SA"/>
        </w:rPr>
        <w:t>0.00</w:t>
      </w:r>
      <w:r>
        <w:rPr>
          <w:rFonts w:ascii="Times New Roman" w:eastAsia="方正仿宋_GBK" w:hAnsi="Times New Roman" w:cs="方正仿宋_GBK" w:hint="eastAsia"/>
          <w:bCs/>
          <w:color w:val="auto"/>
          <w:kern w:val="2"/>
          <w:sz w:val="32"/>
          <w:szCs w:val="32"/>
          <w:highlight w:val="none"/>
          <w:lang w:val="en-US" w:eastAsia="zh-CN" w:bidi="ar-SA"/>
        </w:rPr>
        <w:t>元，其中：授予小微企业合同金额</w:t>
      </w:r>
      <w:r>
        <w:rPr>
          <w:rFonts w:ascii="Times New Roman" w:eastAsia="方正仿宋_GBK" w:hAnsi="Times New Roman" w:cs="方正仿宋_GBK" w:hint="eastAsia"/>
          <w:bCs/>
          <w:color w:val="auto"/>
          <w:kern w:val="2"/>
          <w:sz w:val="32"/>
          <w:szCs w:val="32"/>
          <w:highlight w:val="none"/>
          <w:lang w:val="zh-CN" w:eastAsia="zh-CN" w:bidi="ar-SA"/>
        </w:rPr>
        <w:t>0.00</w:t>
      </w:r>
      <w:r>
        <w:rPr>
          <w:rFonts w:ascii="Times New Roman" w:eastAsia="方正仿宋_GBK" w:hAnsi="Times New Roman" w:cs="方正仿宋_GBK" w:hint="eastAsia"/>
          <w:bCs/>
          <w:color w:val="auto"/>
          <w:kern w:val="2"/>
          <w:sz w:val="32"/>
          <w:szCs w:val="32"/>
          <w:highlight w:val="none"/>
          <w:lang w:val="en-US" w:eastAsia="zh-CN" w:bidi="ar-SA"/>
        </w:rPr>
        <w:t>元。</w:t>
      </w:r>
    </w:p>
    <w:p w14:paraId="54292F83">
      <w:pPr>
        <w:keepNext w:val="0"/>
        <w:keepLines w:val="0"/>
        <w:pageBreakBefore w:val="0"/>
        <w:kinsoku/>
        <w:wordWrap/>
        <w:overflowPunct/>
        <w:topLinePunct w:val="0"/>
        <w:autoSpaceDE/>
        <w:autoSpaceDN/>
        <w:bidi w:val="0"/>
        <w:spacing w:line="590" w:lineRule="exact"/>
        <w:ind w:firstLine="640" w:firstLineChars="200"/>
        <w:jc w:val="left"/>
        <w:textAlignment w:val="auto"/>
        <w:outlineLvl w:val="1"/>
        <w:rPr>
          <w:rFonts w:ascii="方正黑体_GBK" w:eastAsia="方正黑体_GBK" w:hAnsi="方正黑体_GBK" w:cs="方正黑体_GBK" w:hint="eastAsia"/>
          <w:sz w:val="32"/>
          <w:szCs w:val="32"/>
          <w:highlight w:val="none"/>
          <w:lang w:val="en-US" w:eastAsia="zh-CN"/>
        </w:rPr>
      </w:pPr>
      <w:r>
        <w:rPr>
          <w:rFonts w:ascii="方正黑体_GBK" w:eastAsia="方正黑体_GBK" w:hAnsi="方正黑体_GBK" w:cs="方正黑体_GBK" w:hint="eastAsia"/>
          <w:sz w:val="32"/>
          <w:szCs w:val="32"/>
          <w:highlight w:val="none"/>
          <w:lang w:val="en-US" w:eastAsia="zh-CN"/>
        </w:rPr>
        <w:t>四、单位绩效自评情况</w:t>
      </w:r>
    </w:p>
    <w:p w14:paraId="08AD1937">
      <w:pPr>
        <w:keepNext w:val="0"/>
        <w:keepLines w:val="0"/>
        <w:pageBreakBefore w:val="0"/>
        <w:kinsoku/>
        <w:wordWrap/>
        <w:overflowPunct/>
        <w:topLinePunct w:val="0"/>
        <w:autoSpaceDE/>
        <w:autoSpaceDN/>
        <w:bidi w:val="0"/>
        <w:spacing w:line="590" w:lineRule="exact"/>
        <w:ind w:firstLine="640" w:firstLineChars="200"/>
        <w:textAlignment w:val="auto"/>
        <w:rPr>
          <w:rFonts w:ascii="仿宋_GB2312" w:eastAsia="仿宋_GB2312" w:hAnsi="仿宋_GB2312" w:cs="仿宋_GB2312" w:hint="eastAsia"/>
          <w:sz w:val="30"/>
          <w:szCs w:val="30"/>
          <w:highlight w:val="none"/>
          <w:lang w:val="en-US" w:eastAsia="zh-CN"/>
        </w:rPr>
      </w:pPr>
      <w:r>
        <w:rPr>
          <w:rFonts w:ascii="Times New Roman" w:eastAsia="方正仿宋_GBK" w:hAnsi="Times New Roman" w:cs="方正仿宋_GBK" w:hint="eastAsia"/>
          <w:bCs/>
          <w:color w:val="auto"/>
          <w:kern w:val="2"/>
          <w:sz w:val="32"/>
          <w:szCs w:val="32"/>
          <w:highlight w:val="none"/>
          <w:lang w:val="en-US" w:eastAsia="zh-CN" w:bidi="ar-SA"/>
        </w:rPr>
        <w:t>单位绩效自评情况详见附表。</w:t>
      </w:r>
    </w:p>
    <w:p w14:paraId="6600B25F">
      <w:pPr>
        <w:keepNext w:val="0"/>
        <w:keepLines w:val="0"/>
        <w:pageBreakBefore w:val="0"/>
        <w:kinsoku/>
        <w:wordWrap/>
        <w:overflowPunct/>
        <w:topLinePunct w:val="0"/>
        <w:autoSpaceDE/>
        <w:autoSpaceDN/>
        <w:bidi w:val="0"/>
        <w:spacing w:line="590" w:lineRule="exact"/>
        <w:ind w:firstLine="640" w:firstLineChars="200"/>
        <w:jc w:val="left"/>
        <w:textAlignment w:val="auto"/>
        <w:outlineLvl w:val="1"/>
        <w:rPr>
          <w:rFonts w:ascii="方正黑体_GBK" w:eastAsia="方正黑体_GBK" w:hAnsi="方正黑体_GBK" w:cs="方正黑体_GBK" w:hint="eastAsia"/>
          <w:sz w:val="32"/>
          <w:szCs w:val="32"/>
          <w:highlight w:val="none"/>
          <w:lang w:val="en-US" w:eastAsia="zh-CN"/>
        </w:rPr>
      </w:pPr>
      <w:r>
        <w:rPr>
          <w:rFonts w:ascii="方正黑体_GBK" w:eastAsia="方正黑体_GBK" w:hAnsi="方正黑体_GBK" w:cs="方正黑体_GBK" w:hint="eastAsia"/>
          <w:sz w:val="32"/>
          <w:szCs w:val="32"/>
          <w:highlight w:val="none"/>
          <w:lang w:val="en-US" w:eastAsia="zh-CN"/>
        </w:rPr>
        <w:t>五、其他重要事项情况说明</w:t>
      </w:r>
    </w:p>
    <w:p w14:paraId="7D7D29A6">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en-US" w:eastAsia="zh-CN" w:bidi="ar-SA"/>
        </w:rPr>
      </w:pPr>
      <w:r>
        <w:rPr>
          <w:rFonts w:ascii="Times New Roman" w:eastAsia="方正仿宋_GBK" w:hAnsi="Times New Roman" w:cs="方正仿宋_GBK" w:hint="eastAsia"/>
          <w:bCs/>
          <w:color w:val="auto"/>
          <w:kern w:val="2"/>
          <w:sz w:val="32"/>
          <w:szCs w:val="32"/>
          <w:highlight w:val="none"/>
          <w:lang w:val="en-US" w:eastAsia="zh-CN" w:bidi="ar-SA"/>
        </w:rPr>
        <w:t>峨山彝族自治县妇幼保健院无其他重要事项情况。</w:t>
      </w:r>
    </w:p>
    <w:p w14:paraId="2509BE6F">
      <w:pPr>
        <w:keepNext w:val="0"/>
        <w:keepLines w:val="0"/>
        <w:pageBreakBefore w:val="0"/>
        <w:kinsoku/>
        <w:wordWrap/>
        <w:overflowPunct/>
        <w:topLinePunct w:val="0"/>
        <w:autoSpaceDE/>
        <w:autoSpaceDN/>
        <w:bidi w:val="0"/>
        <w:spacing w:line="590" w:lineRule="exact"/>
        <w:ind w:firstLine="640" w:firstLineChars="200"/>
        <w:jc w:val="left"/>
        <w:textAlignment w:val="auto"/>
        <w:outlineLvl w:val="1"/>
        <w:rPr>
          <w:rFonts w:ascii="方正黑体_GBK" w:eastAsia="方正黑体_GBK" w:hAnsi="方正黑体_GBK" w:cs="方正黑体_GBK" w:hint="eastAsia"/>
          <w:sz w:val="32"/>
          <w:szCs w:val="32"/>
          <w:highlight w:val="none"/>
          <w:lang w:val="en-US" w:eastAsia="zh-CN"/>
        </w:rPr>
      </w:pPr>
      <w:r>
        <w:rPr>
          <w:rFonts w:ascii="方正黑体_GBK" w:eastAsia="方正黑体_GBK" w:hAnsi="方正黑体_GBK" w:cs="方正黑体_GBK" w:hint="eastAsia"/>
          <w:sz w:val="32"/>
          <w:szCs w:val="32"/>
          <w:highlight w:val="none"/>
          <w:lang w:val="en-US" w:eastAsia="zh-CN"/>
        </w:rPr>
        <w:t>六、相关口径说明</w:t>
      </w:r>
    </w:p>
    <w:p w14:paraId="28B64F2C">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en-US" w:eastAsia="zh-CN" w:bidi="ar-SA"/>
        </w:rPr>
      </w:pPr>
      <w:r>
        <w:rPr>
          <w:rFonts w:ascii="Times New Roman" w:eastAsia="方正仿宋_GBK" w:hAnsi="Times New Roman" w:cs="方正仿宋_GBK" w:hint="eastAsia"/>
          <w:bCs/>
          <w:color w:val="auto"/>
          <w:kern w:val="2"/>
          <w:sz w:val="32"/>
          <w:szCs w:val="32"/>
          <w:highlight w:val="none"/>
          <w:lang w:val="en-US" w:eastAsia="zh-CN" w:bidi="ar-SA"/>
        </w:rPr>
        <w:t>（一）基本支出中人员经费包括工资福利支出和对个人和家庭的补助，公用经费包括商品和服务支出、资本性支出等人员经费以外的支出。</w:t>
      </w:r>
    </w:p>
    <w:p w14:paraId="4E177DD8">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en-US" w:eastAsia="zh-CN" w:bidi="ar-SA"/>
        </w:rPr>
      </w:pPr>
      <w:r>
        <w:rPr>
          <w:rFonts w:ascii="Times New Roman" w:eastAsia="方正仿宋_GBK" w:hAnsi="Times New Roman" w:cs="方正仿宋_GBK" w:hint="eastAsia"/>
          <w:bCs/>
          <w:color w:val="auto"/>
          <w:kern w:val="2"/>
          <w:sz w:val="32"/>
          <w:szCs w:val="32"/>
          <w:highlight w:val="none"/>
          <w:lang w:val="en-US" w:eastAsia="zh-CN" w:bidi="ar-SA"/>
        </w:rPr>
        <w:t>（二）机关运行经费指行政单位和参照公务员法管理的事业单位使用一般公共预算财政拨款安排的基本支出中的公用经费支出。</w:t>
      </w:r>
    </w:p>
    <w:p w14:paraId="53ACF2C2">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en-US" w:eastAsia="zh-CN" w:bidi="ar-SA"/>
        </w:rPr>
      </w:pPr>
      <w:r>
        <w:rPr>
          <w:rFonts w:ascii="Times New Roman" w:eastAsia="方正仿宋_GBK" w:hAnsi="Times New Roman" w:cs="方正仿宋_GBK" w:hint="eastAsia"/>
          <w:bCs/>
          <w:color w:val="auto"/>
          <w:kern w:val="2"/>
          <w:sz w:val="32"/>
          <w:szCs w:val="32"/>
          <w:highlight w:val="none"/>
          <w:lang w:val="en-US" w:eastAsia="zh-CN" w:bidi="ar-SA"/>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7C3B147F">
      <w:pPr>
        <w:keepNext w:val="0"/>
        <w:keepLines w:val="0"/>
        <w:pageBreakBefore w:val="0"/>
        <w:kinsoku/>
        <w:wordWrap/>
        <w:overflowPunct/>
        <w:topLinePunct w:val="0"/>
        <w:autoSpaceDE/>
        <w:autoSpaceDN/>
        <w:bidi w:val="0"/>
        <w:spacing w:line="590" w:lineRule="exact"/>
        <w:ind w:firstLine="640" w:firstLineChars="200"/>
        <w:textAlignment w:val="auto"/>
        <w:rPr>
          <w:rFonts w:ascii="仿宋_GB2312" w:eastAsia="仿宋_GB2312" w:hAnsi="黑体" w:cs="方正小标宋简体" w:hint="eastAsia"/>
          <w:sz w:val="30"/>
          <w:szCs w:val="30"/>
          <w:highlight w:val="none"/>
        </w:rPr>
      </w:pPr>
      <w:r>
        <w:rPr>
          <w:rFonts w:ascii="Times New Roman" w:eastAsia="方正仿宋_GBK" w:hAnsi="Times New Roman" w:cs="方正仿宋_GBK" w:hint="eastAsia"/>
          <w:bCs/>
          <w:color w:val="auto"/>
          <w:kern w:val="2"/>
          <w:sz w:val="32"/>
          <w:szCs w:val="32"/>
          <w:highlight w:val="none"/>
          <w:lang w:val="en-US" w:eastAsia="zh-CN" w:bidi="ar-SA"/>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14:paraId="05491C7E">
      <w:pPr>
        <w:keepNext w:val="0"/>
        <w:keepLines w:val="0"/>
        <w:pageBreakBefore w:val="0"/>
        <w:kinsoku/>
        <w:wordWrap/>
        <w:overflowPunct/>
        <w:topLinePunct w:val="0"/>
        <w:autoSpaceDE/>
        <w:autoSpaceDN/>
        <w:bidi w:val="0"/>
        <w:spacing w:line="590" w:lineRule="exact"/>
        <w:jc w:val="center"/>
        <w:textAlignment w:val="auto"/>
        <w:outlineLvl w:val="0"/>
        <w:rPr>
          <w:rFonts w:ascii="黑体" w:eastAsia="黑体" w:hAnsi="黑体" w:cs="方正小标宋简体" w:hint="eastAsia"/>
          <w:sz w:val="32"/>
          <w:szCs w:val="32"/>
          <w:highlight w:val="none"/>
        </w:rPr>
      </w:pPr>
      <w:r>
        <w:rPr>
          <w:rFonts w:ascii="黑体" w:eastAsia="黑体" w:hAnsi="黑体" w:cs="方正小标宋简体" w:hint="eastAsia"/>
          <w:sz w:val="32"/>
          <w:szCs w:val="32"/>
          <w:highlight w:val="none"/>
        </w:rPr>
        <w:t>第</w:t>
      </w:r>
      <w:r>
        <w:rPr>
          <w:rFonts w:ascii="黑体" w:eastAsia="黑体" w:hAnsi="黑体" w:cs="方正小标宋简体" w:hint="eastAsia"/>
          <w:sz w:val="32"/>
          <w:szCs w:val="32"/>
          <w:highlight w:val="none"/>
          <w:lang w:eastAsia="zh-CN"/>
        </w:rPr>
        <w:t>五</w:t>
      </w:r>
      <w:r>
        <w:rPr>
          <w:rFonts w:ascii="黑体" w:eastAsia="黑体" w:hAnsi="黑体" w:cs="方正小标宋简体" w:hint="eastAsia"/>
          <w:sz w:val="32"/>
          <w:szCs w:val="32"/>
          <w:highlight w:val="none"/>
        </w:rPr>
        <w:t>部分  名词解释</w:t>
      </w:r>
    </w:p>
    <w:p w14:paraId="0E992042">
      <w:pPr>
        <w:keepNext w:val="0"/>
        <w:keepLines w:val="0"/>
        <w:pageBreakBefore w:val="0"/>
        <w:kinsoku/>
        <w:wordWrap/>
        <w:overflowPunct/>
        <w:topLinePunct w:val="0"/>
        <w:autoSpaceDE/>
        <w:autoSpaceDN/>
        <w:bidi w:val="0"/>
        <w:spacing w:line="590" w:lineRule="exact"/>
        <w:ind w:firstLine="640" w:firstLineChars="200"/>
        <w:textAlignment w:val="auto"/>
        <w:rPr>
          <w:rFonts w:ascii="Times New Roman" w:eastAsia="方正仿宋_GBK" w:hAnsi="Times New Roman" w:cs="方正仿宋_GBK" w:hint="eastAsia"/>
          <w:bCs/>
          <w:color w:val="auto"/>
          <w:kern w:val="2"/>
          <w:sz w:val="32"/>
          <w:szCs w:val="32"/>
          <w:highlight w:val="none"/>
          <w:lang w:val="en-US" w:eastAsia="zh-CN" w:bidi="ar-SA"/>
        </w:rPr>
      </w:pPr>
      <w:r>
        <w:rPr>
          <w:rFonts w:ascii="Times New Roman" w:eastAsia="方正仿宋_GBK" w:hAnsi="Times New Roman" w:cs="方正仿宋_GBK" w:hint="eastAsia"/>
          <w:bCs/>
          <w:color w:val="auto"/>
          <w:kern w:val="2"/>
          <w:sz w:val="32"/>
          <w:szCs w:val="32"/>
          <w:highlight w:val="none"/>
          <w:lang w:val="en-US" w:eastAsia="zh-CN" w:bidi="ar-SA"/>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78ACB487">
      <w:pPr>
        <w:keepNext w:val="0"/>
        <w:keepLines w:val="0"/>
        <w:pageBreakBefore w:val="0"/>
        <w:kinsoku/>
        <w:wordWrap/>
        <w:overflowPunct/>
        <w:topLinePunct w:val="0"/>
        <w:autoSpaceDE/>
        <w:autoSpaceDN/>
        <w:bidi w:val="0"/>
        <w:spacing w:line="590" w:lineRule="exact"/>
        <w:textAlignment w:val="auto"/>
        <w:rPr>
          <w:highlight w:val="none"/>
        </w:rPr>
      </w:pPr>
    </w:p>
    <w:p>
      <w:pPr>
        <w:rPr>
          <w:rFonts w:ascii="Arial" w:eastAsia="Arial" w:hAnsi="Arial" w:cs="Arial"/>
          <w:b/>
          <w:sz w:val="36"/>
        </w:rPr>
      </w:pPr>
      <w:r>
        <w:rPr>
          <w:rFonts w:ascii="Arial" w:eastAsia="Arial" w:hAnsi="Arial" w:cs="Arial"/>
          <w:b/>
          <w:sz w:val="36"/>
        </w:rPr>
        <w:t>监督索引号53042600536100501111</w:t>
      </w:r>
    </w:p>
    <w:sectPr>
      <w:headerReference w:type="default" r:id="rId6"/>
      <w:footerReference w:type="even" r:id="rId7"/>
      <w:footerReference w:type="default" r:id="rId8"/>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557C4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fldChar w:fldCharType="separate"/>
    </w:r>
    <w:r>
      <w:fldChar w:fldCharType="end"/>
    </w:r>
  </w:p>
  <w:p w14:paraId="58077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9F63300">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48D13E93">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A7BEE5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3208E"/>
    <w:multiLevelType w:val="singleLevel"/>
    <w:tmpl w:val="0053208E"/>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F42D45"/>
    <w:rsid w:val="046E5A5F"/>
    <w:rsid w:val="05926AFC"/>
    <w:rsid w:val="19E27BFB"/>
    <w:rsid w:val="1A197394"/>
    <w:rsid w:val="1AE00152"/>
    <w:rsid w:val="271A598C"/>
    <w:rsid w:val="2C1D2D14"/>
    <w:rsid w:val="32C959A4"/>
    <w:rsid w:val="36463182"/>
    <w:rsid w:val="396957EB"/>
    <w:rsid w:val="3A400C39"/>
    <w:rsid w:val="3F2F465A"/>
    <w:rsid w:val="3F8E2F88"/>
    <w:rsid w:val="4C463387"/>
    <w:rsid w:val="4E3046D1"/>
    <w:rsid w:val="5224454D"/>
    <w:rsid w:val="55EE24A9"/>
    <w:rsid w:val="570B6FA0"/>
    <w:rsid w:val="576638E3"/>
    <w:rsid w:val="57BD2E27"/>
    <w:rsid w:val="583C439E"/>
    <w:rsid w:val="5D9E105D"/>
    <w:rsid w:val="5FAB4062"/>
    <w:rsid w:val="67C37821"/>
    <w:rsid w:val="684B23DC"/>
    <w:rsid w:val="6AB04DAE"/>
    <w:rsid w:val="6EE53863"/>
    <w:rsid w:val="79267114"/>
    <w:rsid w:val="7E9A331D"/>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qFormat/>
    <w:pPr>
      <w:spacing w:before="93" w:beforeLines="30"/>
    </w:pPr>
    <w:rPr>
      <w:rFonts w:ascii="仿宋_GB2312" w:eastAsia="仿宋_GB2312"/>
      <w:sz w:val="3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283e3c-ad59-45a7-9b0a-92f16d8c3702}">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18</Pages>
  <Words>1507</Words>
  <Characters>1549</Characters>
  <Application>Microsoft Office Word</Application>
  <DocSecurity>0</DocSecurity>
  <Lines>0</Lines>
  <Paragraphs>0</Paragraphs>
  <ScaleCrop>false</ScaleCrop>
  <Company>云南省财政厅</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李瑞婷_x0028_拟稿_x0029_</dc:creator>
  <cp:lastModifiedBy>Administrator</cp:lastModifiedBy>
  <cp:revision>1</cp:revision>
  <cp:lastPrinted>2024-07-30T06:24:00Z</cp:lastPrinted>
  <dcterms:created xsi:type="dcterms:W3CDTF">2024-06-03T01:34:00Z</dcterms:created>
  <dcterms:modified xsi:type="dcterms:W3CDTF">2025-09-11T03:04:27Z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10D2EC6267CB494587EFC568D3C4B5CB_13</vt:lpwstr>
  </property>
  <property fmtid="{D5CDD505-2E9C-101B-9397-08002B2CF9AE}" pid="3" name="KSOProductBuildVer">
    <vt:lpwstr>2052-12.1.0.22529</vt:lpwstr>
  </property>
  <property fmtid="{D5CDD505-2E9C-101B-9397-08002B2CF9AE}" pid="4" name="KSOTemplateDocerSaveRecord">
    <vt:lpwstr>eyJoZGlkIjoiMjc4Mjg2OThjYTZmNDgxOGI2YjkwZDVlZjVlNWE1MTYifQ==</vt:lpwstr>
  </property>
</Properties>
</file>