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税务文书送达公告</w:t>
      </w: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峨山县铁九机械租赁服务部（92530426MA6PCAX54P）：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根据《中华人民共和国税收征收管理法实施细则》第一百零六条之规定，因采取其他送达方式无法送达，现将《阻止出境决定书》（峨税阻〔2025〕23号）予以公告送达。本公告自发布之日起满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30日，即视为送达。</w:t>
      </w: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请你单位自公告之日起30日内，到我局领取上述文书正本。</w:t>
      </w: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税务机关地址：玉溪市峨山县双江街道练江南路22号</w:t>
      </w: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电话：0877-4067113</w:t>
      </w: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6126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阻止出境决定书（峨税阻〔2025〕23号）</w:t>
      </w: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w:pict>
          <v:shape id="_x0000_s1026" o:spid="_x0000_s1026" o:spt="201" type="#_x0000_t201" style="position:absolute;left:0pt;margin-left:233.65pt;margin-top:5.8pt;height:113pt;width:113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CWordOLECtrl1" w:shapeid="_x0000_s1026"/>
        </w:pict>
      </w:r>
    </w:p>
    <w:p>
      <w:pPr>
        <w:tabs>
          <w:tab w:val="left" w:pos="612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6126"/>
        </w:tabs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国家税务总局峨山彝族自治县税务局</w:t>
      </w:r>
    </w:p>
    <w:p>
      <w:pPr>
        <w:tabs>
          <w:tab w:val="left" w:pos="6126"/>
        </w:tabs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2025年5月15日        </w:t>
      </w:r>
      <w:bookmarkStart w:id="0" w:name="swjgmc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50y17mt+scszHBP0f2qnT7lUQhM=" w:salt="hoNv4aH3WjI5mrCfil5EB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22E50"/>
    <w:rsid w:val="00FD6A10"/>
    <w:rsid w:val="05D65772"/>
    <w:rsid w:val="55C22E50"/>
    <w:rsid w:val="64574886"/>
    <w:rsid w:val="7B3165F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2025-05-16T02:09:00Z</dcterms:created>
  <dc:creator>郭锦睿</dc:creator>
  <cp:lastModifiedBy>Administrator</cp:lastModifiedBy>
  <dcterms:modified xsi:type="dcterms:W3CDTF">2025-05-19T02:11:03Z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docranid">
    <vt:lpwstr>E0B6BD3CA01D467494F233FED23126B9</vt:lpwstr>
  </property>
</Properties>
</file>