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黑体_GBK" w:cs="Times New Roman"/>
          <w:bCs/>
          <w:color w:val="000000"/>
          <w:kern w:val="0"/>
          <w:sz w:val="32"/>
          <w:szCs w:val="32"/>
        </w:rPr>
      </w:pPr>
      <w:bookmarkStart w:id="0" w:name="_GoBack"/>
      <w:bookmarkEnd w:id="0"/>
      <w:r>
        <w:rPr>
          <w:rFonts w:ascii="Times New Roman" w:hAnsi="Times New Roman" w:eastAsia="方正黑体_GBK" w:cs="Times New Roman"/>
          <w:bCs/>
          <w:color w:val="000000"/>
          <w:kern w:val="0"/>
          <w:sz w:val="32"/>
          <w:szCs w:val="32"/>
        </w:rPr>
        <w:t>附件3</w:t>
      </w:r>
    </w:p>
    <w:p>
      <w:pPr>
        <w:spacing w:line="590" w:lineRule="exact"/>
        <w:jc w:val="center"/>
        <w:rPr>
          <w:rFonts w:ascii="Times New Roman" w:hAnsi="Times New Roman" w:eastAsia="方正小标宋_GBK" w:cs="Times New Roman"/>
          <w:bCs/>
          <w:sz w:val="32"/>
          <w:szCs w:val="40"/>
        </w:rPr>
      </w:pPr>
      <w:r>
        <w:rPr>
          <w:rFonts w:ascii="Times New Roman" w:hAnsi="Times New Roman" w:eastAsia="方正小标宋_GBK" w:cs="Times New Roman"/>
          <w:bCs/>
          <w:color w:val="000000"/>
          <w:kern w:val="0"/>
          <w:sz w:val="44"/>
          <w:szCs w:val="44"/>
        </w:rPr>
        <w:t>202</w:t>
      </w:r>
      <w:r>
        <w:rPr>
          <w:rFonts w:hint="eastAsia" w:ascii="Times New Roman" w:hAnsi="Times New Roman" w:eastAsia="方正小标宋_GBK" w:cs="Times New Roman"/>
          <w:bCs/>
          <w:color w:val="000000"/>
          <w:kern w:val="0"/>
          <w:sz w:val="44"/>
          <w:szCs w:val="44"/>
          <w:lang w:val="en-US" w:eastAsia="zh-CN"/>
        </w:rPr>
        <w:t>3</w:t>
      </w:r>
      <w:r>
        <w:rPr>
          <w:rFonts w:hint="default" w:ascii="Times New Roman" w:hAnsi="Times New Roman" w:eastAsia="方正小标宋_GBK" w:cs="Times New Roman"/>
          <w:b w:val="0"/>
          <w:bCs/>
          <w:color w:val="000000"/>
          <w:sz w:val="44"/>
          <w:szCs w:val="44"/>
          <w:u w:val="none"/>
        </w:rPr>
        <w:t>年政府性基金项目清单</w:t>
      </w:r>
    </w:p>
    <w:p>
      <w:pPr>
        <w:rPr>
          <w:rFonts w:ascii="Times New Roman" w:hAnsi="Times New Roman" w:eastAsia="方正仿宋_GBK" w:cs="Times New Roman"/>
          <w:sz w:val="40"/>
          <w:szCs w:val="48"/>
        </w:rPr>
      </w:pPr>
      <w:r>
        <w:rPr>
          <w:rFonts w:ascii="Times New Roman" w:hAnsi="Times New Roman" w:eastAsia="方正仿宋_GBK" w:cs="Times New Roman"/>
          <w:b/>
          <w:color w:val="000000"/>
          <w:kern w:val="0"/>
          <w:sz w:val="22"/>
          <w:szCs w:val="22"/>
        </w:rPr>
        <w:t>填制单位：</w:t>
      </w:r>
      <w:r>
        <w:rPr>
          <w:rFonts w:hint="eastAsia" w:ascii="Times New Roman" w:hAnsi="Times New Roman" w:eastAsia="方正仿宋_GBK" w:cs="Times New Roman"/>
          <w:b/>
          <w:color w:val="auto"/>
          <w:sz w:val="22"/>
          <w:szCs w:val="22"/>
          <w:u w:val="none"/>
        </w:rPr>
        <w:t>峨山县</w:t>
      </w:r>
      <w:r>
        <w:rPr>
          <w:rFonts w:ascii="Times New Roman" w:hAnsi="Times New Roman" w:eastAsia="方正仿宋_GBK" w:cs="Times New Roman"/>
          <w:b/>
          <w:color w:val="auto"/>
          <w:sz w:val="22"/>
          <w:szCs w:val="22"/>
          <w:u w:val="none"/>
        </w:rPr>
        <w:t>财政局</w:t>
      </w:r>
      <w:r>
        <w:rPr>
          <w:rFonts w:hint="eastAsia" w:ascii="Times New Roman" w:hAnsi="Times New Roman" w:eastAsia="方正仿宋_GBK" w:cs="Times New Roman"/>
          <w:b/>
          <w:color w:val="auto"/>
          <w:sz w:val="22"/>
          <w:szCs w:val="22"/>
          <w:u w:val="none"/>
          <w:lang w:val="en-US" w:eastAsia="zh-CN"/>
        </w:rPr>
        <w:t xml:space="preserve"> 峨山县发展和改革局</w:t>
      </w:r>
    </w:p>
    <w:tbl>
      <w:tblPr>
        <w:tblStyle w:val="8"/>
        <w:tblW w:w="0" w:type="auto"/>
        <w:tblInd w:w="0" w:type="dxa"/>
        <w:tblLayout w:type="fixed"/>
        <w:tblCellMar>
          <w:top w:w="0" w:type="dxa"/>
          <w:left w:w="0" w:type="dxa"/>
          <w:bottom w:w="0" w:type="dxa"/>
          <w:right w:w="0" w:type="dxa"/>
        </w:tblCellMar>
      </w:tblPr>
      <w:tblGrid>
        <w:gridCol w:w="657"/>
        <w:gridCol w:w="1185"/>
        <w:gridCol w:w="958"/>
        <w:gridCol w:w="1728"/>
        <w:gridCol w:w="10740"/>
      </w:tblGrid>
      <w:tr>
        <w:tblPrEx>
          <w:tblCellMar>
            <w:top w:w="0" w:type="dxa"/>
            <w:left w:w="0" w:type="dxa"/>
            <w:bottom w:w="0" w:type="dxa"/>
            <w:right w:w="0" w:type="dxa"/>
          </w:tblCellMar>
        </w:tblPrEx>
        <w:trPr>
          <w:trHeight w:val="442" w:hRule="atLeast"/>
          <w:tblHeader/>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序号</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项目名称</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资金管理方式</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政策依据</w:t>
            </w:r>
          </w:p>
        </w:tc>
      </w:tr>
      <w:tr>
        <w:tblPrEx>
          <w:tblCellMar>
            <w:top w:w="0" w:type="dxa"/>
            <w:left w:w="0" w:type="dxa"/>
            <w:bottom w:w="0" w:type="dxa"/>
            <w:right w:w="0" w:type="dxa"/>
          </w:tblCellMar>
        </w:tblPrEx>
        <w:trPr>
          <w:trHeight w:val="50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铁路建设基金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国发〔1992〕37号，财工字〔1996〕371号，财工〔1997〕543号，财综〔2007〕3号</w:t>
            </w:r>
          </w:p>
        </w:tc>
      </w:tr>
      <w:tr>
        <w:tblPrEx>
          <w:tblCellMar>
            <w:top w:w="0" w:type="dxa"/>
            <w:left w:w="0" w:type="dxa"/>
            <w:bottom w:w="0" w:type="dxa"/>
            <w:right w:w="0" w:type="dxa"/>
          </w:tblCellMar>
        </w:tblPrEx>
        <w:trPr>
          <w:trHeight w:val="86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2</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民航发展基金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国发〔2012〕24号，财综〔2012〕17号，财税〔2015〕135号，财税[2019]46号,财政部　国家发展改革委公告2020年第11号，财政部　税务总局公告2020年第28号，财税〔2020〕72号，财政部公告2021年第8号</w:t>
            </w: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3</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国家重大水利工程建设基金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财综〔2009〕90号，财综〔2010〕97号，云财综〔2010〕24号，财税〔2010〕44号，财综〔2013〕103号，财税〔2015〕80号，财办税〔2015〕4号，财税〔2017〕51号，财办税〔2017〕60号，财税〔2018〕39号，财税〔2018〕147号，财税〔2019〕46号，财税〔2020〕9号，云财非税〔2019〕12号</w:t>
            </w:r>
          </w:p>
        </w:tc>
      </w:tr>
      <w:tr>
        <w:tblPrEx>
          <w:tblCellMar>
            <w:top w:w="0" w:type="dxa"/>
            <w:left w:w="0" w:type="dxa"/>
            <w:bottom w:w="0" w:type="dxa"/>
            <w:right w:w="0" w:type="dxa"/>
          </w:tblCellMar>
        </w:tblPrEx>
        <w:trPr>
          <w:trHeight w:val="116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4</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水利建设基金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财综字〔1998〕125号，财综〔2011〕2号，财综函〔2011〕33号，财办综〔2011〕111号，财税函〔2016〕291号，财税〔2016〕12号，财税〔2017〕18号，财税〔2020〕9号，云政办发〔2016〕108号，财税〔2020〕72号，云财规〔2021〕7号，云财规〔2021〕13号</w:t>
            </w:r>
          </w:p>
        </w:tc>
      </w:tr>
      <w:tr>
        <w:tblPrEx>
          <w:tblCellMar>
            <w:top w:w="0" w:type="dxa"/>
            <w:left w:w="0" w:type="dxa"/>
            <w:bottom w:w="0" w:type="dxa"/>
            <w:right w:w="0" w:type="dxa"/>
          </w:tblCellMar>
        </w:tblPrEx>
        <w:trPr>
          <w:trHeight w:val="85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5</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城市基础设施配套费</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国发〔1998〕34号，财综函〔2002〕3号，发改价格，财综〔2007〕53号，财税〔2019〕53号，财政部　税务总局　发展改革委　民政部　商务部　卫生健康委公告2019年第76号</w:t>
            </w:r>
          </w:p>
        </w:tc>
      </w:tr>
      <w:tr>
        <w:tblPrEx>
          <w:tblCellMar>
            <w:top w:w="0" w:type="dxa"/>
            <w:left w:w="0" w:type="dxa"/>
            <w:bottom w:w="0" w:type="dxa"/>
            <w:right w:w="0" w:type="dxa"/>
          </w:tblCellMar>
        </w:tblPrEx>
        <w:trPr>
          <w:trHeight w:val="85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69</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农网还贷资金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财企〔2001〕820号，财企〔2002〕266号，财企〔2006〕347号，财综〔2007〕3号，财综〔2012〕7号，财综〔2013〕103号，财税〔2015〕59号，财税〔2018〕147号，财税〔2020〕67号</w:t>
            </w:r>
          </w:p>
        </w:tc>
      </w:tr>
      <w:tr>
        <w:tblPrEx>
          <w:tblCellMar>
            <w:top w:w="0" w:type="dxa"/>
            <w:left w:w="0" w:type="dxa"/>
            <w:bottom w:w="0" w:type="dxa"/>
            <w:right w:w="0" w:type="dxa"/>
          </w:tblCellMar>
        </w:tblPrEx>
        <w:trPr>
          <w:trHeight w:val="114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7</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教育费附加</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Times New Roman" w:hAnsi="Times New Roman" w:eastAsia="方正仿宋_GBK" w:cs="Times New Roman"/>
                <w:sz w:val="24"/>
                <w:szCs w:val="24"/>
                <w:highlight w:val="none"/>
                <w:lang w:val="en-US" w:eastAsia="zh-CN"/>
              </w:rPr>
            </w:pPr>
            <w:r>
              <w:rPr>
                <w:rFonts w:ascii="Times New Roman" w:hAnsi="Times New Roman" w:eastAsia="方正仿宋_GBK" w:cs="Times New Roman"/>
                <w:kern w:val="0"/>
                <w:sz w:val="24"/>
                <w:szCs w:val="24"/>
                <w:highlight w:val="none"/>
              </w:rPr>
              <w:t>《教育法》，</w:t>
            </w:r>
            <w:r>
              <w:rPr>
                <w:rFonts w:hint="default" w:ascii="Times New Roman" w:hAnsi="Times New Roman" w:eastAsia="方正仿宋_GBK" w:cs="Times New Roman"/>
                <w:kern w:val="0"/>
                <w:sz w:val="24"/>
                <w:szCs w:val="24"/>
                <w:highlight w:val="none"/>
                <w:lang w:val="en-US" w:eastAsia="zh-CN"/>
              </w:rPr>
              <w:t>国务院1986年4月28日颁布《关于征收教育费附加的暂行规定》（国发〔1986〕50号）</w:t>
            </w:r>
            <w:r>
              <w:rPr>
                <w:rFonts w:ascii="Times New Roman" w:hAnsi="Times New Roman" w:eastAsia="方正仿宋_GBK" w:cs="Times New Roman"/>
                <w:kern w:val="0"/>
                <w:sz w:val="24"/>
                <w:szCs w:val="24"/>
                <w:highlight w:val="none"/>
              </w:rPr>
              <w:t>(国务院令第60号修改发布），</w:t>
            </w:r>
            <w:r>
              <w:rPr>
                <w:rFonts w:hint="default" w:ascii="Times New Roman" w:hAnsi="Times New Roman" w:eastAsia="方正仿宋_GBK" w:cs="Times New Roman"/>
                <w:kern w:val="0"/>
                <w:sz w:val="24"/>
                <w:szCs w:val="24"/>
                <w:highlight w:val="none"/>
                <w:lang w:val="en-US" w:eastAsia="zh-CN"/>
              </w:rPr>
              <w:t>《云南省征收教育费附加实施办法》（云政发〔1986〕126号）</w:t>
            </w:r>
            <w:r>
              <w:rPr>
                <w:rFonts w:hint="eastAsia" w:ascii="Times New Roman" w:hAnsi="Times New Roman" w:eastAsia="方正仿宋_GBK" w:cs="Times New Roman"/>
                <w:kern w:val="0"/>
                <w:sz w:val="24"/>
                <w:szCs w:val="24"/>
                <w:highlight w:val="none"/>
                <w:lang w:val="en-US" w:eastAsia="zh-CN"/>
              </w:rPr>
              <w:t>,</w:t>
            </w:r>
            <w:r>
              <w:rPr>
                <w:rFonts w:ascii="Times New Roman" w:hAnsi="Times New Roman" w:eastAsia="方正仿宋_GBK" w:cs="Times New Roman"/>
                <w:kern w:val="0"/>
                <w:sz w:val="24"/>
                <w:szCs w:val="24"/>
                <w:highlight w:val="none"/>
              </w:rPr>
              <w:t>国发明电〔1994〕2号、23号，财综〔2007〕53号，国发〔2010〕35号，财税〔2010〕103号，财税〔2016〕12号，财税〔2019〕13号，财税〔2019〕21号，财税〔2019〕22号，财税〔2019〕46号</w:t>
            </w:r>
            <w:r>
              <w:rPr>
                <w:rFonts w:hint="eastAsia" w:ascii="Times New Roman" w:hAnsi="Times New Roman" w:eastAsia="方正仿宋_GBK" w:cs="Times New Roman"/>
                <w:kern w:val="0"/>
                <w:sz w:val="24"/>
                <w:szCs w:val="24"/>
                <w:highlight w:val="none"/>
                <w:lang w:eastAsia="zh-CN"/>
              </w:rPr>
              <w:t>。</w:t>
            </w:r>
          </w:p>
        </w:tc>
      </w:tr>
      <w:tr>
        <w:tblPrEx>
          <w:tblCellMar>
            <w:top w:w="0" w:type="dxa"/>
            <w:left w:w="0" w:type="dxa"/>
            <w:bottom w:w="0" w:type="dxa"/>
            <w:right w:w="0" w:type="dxa"/>
          </w:tblCellMar>
        </w:tblPrEx>
        <w:trPr>
          <w:trHeight w:val="194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8</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地方教育附加</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Times New Roman" w:hAnsi="Times New Roman" w:eastAsia="方正仿宋_GBK" w:cs="Times New Roman"/>
                <w:sz w:val="24"/>
                <w:szCs w:val="24"/>
                <w:highlight w:val="none"/>
                <w:lang w:val="en-US" w:eastAsia="zh-CN"/>
              </w:rPr>
            </w:pPr>
            <w:r>
              <w:rPr>
                <w:rFonts w:ascii="Times New Roman" w:hAnsi="Times New Roman" w:eastAsia="方正仿宋_GBK" w:cs="Times New Roman"/>
                <w:kern w:val="0"/>
                <w:sz w:val="24"/>
                <w:szCs w:val="24"/>
                <w:highlight w:val="none"/>
              </w:rPr>
              <w:t>《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《云南省人民政府关于印发云南省地方教育附加征收管理办法的通知》（云政发〔2005〕137号）和《云南省财政厅云南省地方税务局关于调整地方教育附加征收政策的通知》（云财综〔2011〕46号）。</w:t>
            </w:r>
          </w:p>
        </w:tc>
      </w:tr>
      <w:tr>
        <w:tblPrEx>
          <w:tblCellMar>
            <w:top w:w="0" w:type="dxa"/>
            <w:left w:w="0" w:type="dxa"/>
            <w:bottom w:w="0" w:type="dxa"/>
            <w:right w:w="0" w:type="dxa"/>
          </w:tblCellMar>
        </w:tblPrEx>
        <w:trPr>
          <w:trHeight w:val="114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9</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文化事业建设费</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发〔1996〕37号，国办发〔2006〕43号，财综〔2007〕3号，财综〔2013〕102号，财文字〔1997〕243号，财预字〔1996〕469号，财税〔2016〕25号，财税〔2016〕60号，财税〔2019〕46号，财政部2020年公告第25号，云财非税〔2019〕12号，财政部　税务总局公告2021年第7号</w:t>
            </w:r>
          </w:p>
        </w:tc>
      </w:tr>
      <w:tr>
        <w:tblPrEx>
          <w:tblCellMar>
            <w:top w:w="0" w:type="dxa"/>
            <w:left w:w="0" w:type="dxa"/>
            <w:bottom w:w="0" w:type="dxa"/>
            <w:right w:w="0" w:type="dxa"/>
          </w:tblCellMar>
        </w:tblPrEx>
        <w:trPr>
          <w:trHeight w:val="85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10</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国家电影事业发展专项资金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《电影管理条例》，国办发〔2006〕43号，财税〔2015〕91号，财教〔2016〕4号，云政办发〔2017〕118号，财税[2018]67号，财政部2020年公告第26号，云财非税〔2022〕9号</w:t>
            </w:r>
          </w:p>
        </w:tc>
      </w:tr>
      <w:tr>
        <w:tblPrEx>
          <w:tblCellMar>
            <w:top w:w="0" w:type="dxa"/>
            <w:left w:w="0" w:type="dxa"/>
            <w:bottom w:w="0" w:type="dxa"/>
            <w:right w:w="0" w:type="dxa"/>
          </w:tblCellMar>
        </w:tblPrEx>
        <w:trPr>
          <w:trHeight w:val="69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11</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旅游发展基金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旅办发〔1991〕124号，财综〔2007〕3号，财综〔2010〕123号，财综[2012]17号，财税〔2015〕135号，财税〔2020〕72号</w:t>
            </w:r>
          </w:p>
        </w:tc>
      </w:tr>
      <w:tr>
        <w:tblPrEx>
          <w:tblCellMar>
            <w:top w:w="0" w:type="dxa"/>
            <w:left w:w="0" w:type="dxa"/>
            <w:bottom w:w="0" w:type="dxa"/>
            <w:right w:w="0" w:type="dxa"/>
          </w:tblCellMar>
        </w:tblPrEx>
        <w:trPr>
          <w:trHeight w:val="925" w:hRule="atLeast"/>
        </w:trPr>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12</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中央水库移民扶持基金</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大中型水库移民后期扶持基金</w:t>
            </w:r>
          </w:p>
        </w:tc>
        <w:tc>
          <w:tcPr>
            <w:tcW w:w="17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缴入中央国库</w:t>
            </w:r>
          </w:p>
        </w:tc>
        <w:tc>
          <w:tcPr>
            <w:tcW w:w="10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财税〔2018〕147号</w:t>
            </w:r>
          </w:p>
        </w:tc>
      </w:tr>
      <w:tr>
        <w:tblPrEx>
          <w:tblCellMar>
            <w:top w:w="0" w:type="dxa"/>
            <w:left w:w="0" w:type="dxa"/>
            <w:bottom w:w="0" w:type="dxa"/>
            <w:right w:w="0" w:type="dxa"/>
          </w:tblCellMar>
        </w:tblPrEx>
        <w:trPr>
          <w:trHeight w:val="855" w:hRule="atLeast"/>
        </w:trPr>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跨省大中型水库库区基金</w:t>
            </w:r>
          </w:p>
        </w:tc>
        <w:tc>
          <w:tcPr>
            <w:tcW w:w="1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10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left"/>
              <w:rPr>
                <w:rFonts w:ascii="Times New Roman" w:hAnsi="Times New Roman" w:eastAsia="方正仿宋_GBK" w:cs="Times New Roman"/>
                <w:sz w:val="24"/>
                <w:szCs w:val="24"/>
                <w:highlight w:val="none"/>
              </w:rPr>
            </w:pPr>
          </w:p>
        </w:tc>
      </w:tr>
      <w:tr>
        <w:tblPrEx>
          <w:tblCellMar>
            <w:top w:w="0" w:type="dxa"/>
            <w:left w:w="0" w:type="dxa"/>
            <w:bottom w:w="0" w:type="dxa"/>
            <w:right w:w="0" w:type="dxa"/>
          </w:tblCellMar>
        </w:tblPrEx>
        <w:trPr>
          <w:trHeight w:val="740" w:hRule="atLeast"/>
        </w:trPr>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三峡水库库区基金</w:t>
            </w:r>
          </w:p>
        </w:tc>
        <w:tc>
          <w:tcPr>
            <w:tcW w:w="1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10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left"/>
              <w:rPr>
                <w:rFonts w:ascii="Times New Roman" w:hAnsi="Times New Roman" w:eastAsia="方正仿宋_GBK" w:cs="Times New Roman"/>
                <w:sz w:val="24"/>
                <w:szCs w:val="24"/>
                <w:highlight w:val="none"/>
              </w:rPr>
            </w:pPr>
          </w:p>
        </w:tc>
      </w:tr>
      <w:tr>
        <w:tblPrEx>
          <w:tblCellMar>
            <w:top w:w="0" w:type="dxa"/>
            <w:left w:w="0" w:type="dxa"/>
            <w:bottom w:w="0" w:type="dxa"/>
            <w:right w:w="0" w:type="dxa"/>
          </w:tblCellMar>
        </w:tblPrEx>
        <w:trPr>
          <w:trHeight w:val="1060" w:hRule="atLeast"/>
        </w:trPr>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13</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地方水库移民扶持基金</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省级大中型水库库区基金</w:t>
            </w:r>
          </w:p>
        </w:tc>
        <w:tc>
          <w:tcPr>
            <w:tcW w:w="17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缴入地方国库</w:t>
            </w:r>
          </w:p>
        </w:tc>
        <w:tc>
          <w:tcPr>
            <w:tcW w:w="10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国发〔2006〕17号，财综〔2007〕26号，财综〔2008〕17号，财综〔2008〕29号、30号、31号、32号、33号、35号、64号、65号、66号、67号、68号、85号、86号、87号、88号、89号、90号，财综〔2009〕51号、59号，财综〔2010〕15号、16号、43号、113号，财综函〔2010〕10号、39号，财税〔2016〕11号，财税〔2016〕13号，财税〔2017〕18号，财税〔2020〕58号，云财综〔2010〕24号</w:t>
            </w:r>
          </w:p>
        </w:tc>
      </w:tr>
      <w:tr>
        <w:tblPrEx>
          <w:tblCellMar>
            <w:top w:w="0" w:type="dxa"/>
            <w:left w:w="0" w:type="dxa"/>
            <w:bottom w:w="0" w:type="dxa"/>
            <w:right w:w="0" w:type="dxa"/>
          </w:tblCellMar>
        </w:tblPrEx>
        <w:trPr>
          <w:trHeight w:val="800" w:hRule="atLeast"/>
        </w:trPr>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小型水库移民扶助基金</w:t>
            </w:r>
          </w:p>
        </w:tc>
        <w:tc>
          <w:tcPr>
            <w:tcW w:w="1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Times New Roman" w:hAnsi="Times New Roman" w:eastAsia="方正仿宋_GBK" w:cs="Times New Roman"/>
                <w:sz w:val="24"/>
                <w:szCs w:val="24"/>
                <w:highlight w:val="none"/>
              </w:rPr>
            </w:pPr>
          </w:p>
        </w:tc>
        <w:tc>
          <w:tcPr>
            <w:tcW w:w="10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left"/>
              <w:rPr>
                <w:rFonts w:ascii="Times New Roman" w:hAnsi="Times New Roman" w:eastAsia="方正仿宋_GBK" w:cs="Times New Roman"/>
                <w:sz w:val="24"/>
                <w:szCs w:val="24"/>
                <w:highlight w:val="none"/>
              </w:rPr>
            </w:pPr>
          </w:p>
        </w:tc>
      </w:tr>
      <w:tr>
        <w:tblPrEx>
          <w:tblCellMar>
            <w:top w:w="0" w:type="dxa"/>
            <w:left w:w="0" w:type="dxa"/>
            <w:bottom w:w="0" w:type="dxa"/>
            <w:right w:w="0" w:type="dxa"/>
          </w:tblCellMar>
        </w:tblPrEx>
        <w:trPr>
          <w:trHeight w:val="1040"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14</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残疾人就业保障金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《中华人民共和国残疾人就业保障法》，《残疾人就业条例》，《财政部 国家税务总局中国残疾人联合会关于印发&lt;残疾人就业保障金征收使用管理办法&gt;的通知》</w:t>
            </w:r>
            <w:r>
              <w:rPr>
                <w:rFonts w:ascii="Times New Roman" w:hAnsi="Times New Roman" w:eastAsia="方正仿宋_GBK" w:cs="Times New Roman"/>
                <w:kern w:val="0"/>
                <w:sz w:val="24"/>
                <w:szCs w:val="24"/>
                <w:highlight w:val="none"/>
              </w:rPr>
              <w:t>财税〔2015〕72号，财综〔2001〕16号，财税〔2017〕18号，财税〔2018〕39号,财政部公告2019年第98号，云财非税〔2020〕1号，云财非税函〔2020〕27号</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（财税〔2015〕72号），《云南省财政厅 云南省地方税务局 云南省残疾人联合会关于印发云南省残疾人就业保障金征收使用管理实施办法的通知》（云财非税〔2017〕32号）。</w:t>
            </w:r>
          </w:p>
          <w:p>
            <w:pPr>
              <w:widowControl/>
              <w:spacing w:line="260" w:lineRule="exact"/>
              <w:jc w:val="left"/>
              <w:textAlignment w:val="center"/>
              <w:rPr>
                <w:rFonts w:hint="eastAsia" w:ascii="Times New Roman" w:hAnsi="Times New Roman" w:eastAsia="方正仿宋_GBK" w:cs="Times New Roman"/>
                <w:sz w:val="24"/>
                <w:szCs w:val="24"/>
                <w:highlight w:val="none"/>
                <w:lang w:val="en-US" w:eastAsia="zh-CN"/>
              </w:rPr>
            </w:pPr>
          </w:p>
        </w:tc>
      </w:tr>
      <w:tr>
        <w:tblPrEx>
          <w:tblCellMar>
            <w:top w:w="0" w:type="dxa"/>
            <w:left w:w="0" w:type="dxa"/>
            <w:bottom w:w="0" w:type="dxa"/>
            <w:right w:w="0" w:type="dxa"/>
          </w:tblCellMar>
        </w:tblPrEx>
        <w:trPr>
          <w:trHeight w:val="85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15</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森林植被恢复费</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缴入中央和地方国库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Times New Roman" w:hAnsi="Times New Roman" w:eastAsia="方正仿宋_GBK" w:cs="Times New Roman"/>
                <w:sz w:val="24"/>
                <w:szCs w:val="24"/>
                <w:highlight w:val="none"/>
                <w:lang w:val="en-US" w:eastAsia="zh-CN"/>
              </w:rPr>
            </w:pPr>
            <w:r>
              <w:rPr>
                <w:rFonts w:hint="eastAsia" w:eastAsia="方正仿宋_GBK" w:cs="Times New Roman"/>
                <w:kern w:val="0"/>
                <w:sz w:val="24"/>
                <w:szCs w:val="24"/>
                <w:highlight w:val="none"/>
                <w:lang w:eastAsia="zh-CN"/>
              </w:rPr>
              <w:t>《中华人民共和国森林法》</w:t>
            </w:r>
            <w:r>
              <w:rPr>
                <w:rFonts w:ascii="Times New Roman" w:hAnsi="Times New Roman" w:eastAsia="方正仿宋_GBK" w:cs="Times New Roman"/>
                <w:kern w:val="0"/>
                <w:sz w:val="24"/>
                <w:szCs w:val="24"/>
                <w:highlight w:val="none"/>
              </w:rPr>
              <w:t>，《森林法实施条例》，财税〔2015〕122号，云财字〔2003〕21号，云财非税〔2016〕58号，云财非税〔2020〕2号，云财规〔2022〕16号</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《中华人民共和国森林法》和《中华人民共和国森林法实施条例》（国务院令第278号）、财政部 国家林业局关于印发《森林植被恢复费征收使用管理暂行办法》的通知（财综〔2002〕73号）</w:t>
            </w:r>
          </w:p>
        </w:tc>
      </w:tr>
      <w:tr>
        <w:tblPrEx>
          <w:tblCellMar>
            <w:top w:w="0" w:type="dxa"/>
            <w:left w:w="0" w:type="dxa"/>
            <w:bottom w:w="0" w:type="dxa"/>
            <w:right w:w="0" w:type="dxa"/>
          </w:tblCellMar>
        </w:tblPrEx>
        <w:trPr>
          <w:trHeight w:val="85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16</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可再生能源发展基金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w:t>
            </w:r>
            <w:r>
              <w:rPr>
                <w:rFonts w:hint="default" w:ascii="Times New Roman" w:hAnsi="Times New Roman" w:eastAsia="方正仿宋_GBK" w:cs="Times New Roman"/>
                <w:kern w:val="0"/>
                <w:sz w:val="24"/>
                <w:szCs w:val="24"/>
                <w:highlight w:val="none"/>
                <w:lang w:val="en-US" w:eastAsia="zh-CN"/>
              </w:rPr>
              <w:t>中华人民共和国</w:t>
            </w:r>
            <w:r>
              <w:rPr>
                <w:rFonts w:ascii="Times New Roman" w:hAnsi="Times New Roman" w:eastAsia="方正仿宋_GBK" w:cs="Times New Roman"/>
                <w:kern w:val="0"/>
                <w:sz w:val="24"/>
                <w:szCs w:val="24"/>
                <w:highlight w:val="none"/>
              </w:rPr>
              <w:t>可再生能源法》，财综〔2011〕115号，财建〔2012〕102号，财综〔2013〕89号，财综〔2013〕103号，财税〔2016〕4号，财办税〔2015〕4号，财税〔2018〕147号，财建〔2020〕4号，财建〔2020〕5号</w:t>
            </w:r>
          </w:p>
        </w:tc>
      </w:tr>
      <w:tr>
        <w:tblPrEx>
          <w:tblCellMar>
            <w:top w:w="0" w:type="dxa"/>
            <w:left w:w="0" w:type="dxa"/>
            <w:bottom w:w="0" w:type="dxa"/>
            <w:right w:w="0" w:type="dxa"/>
          </w:tblCellMar>
        </w:tblPrEx>
        <w:trPr>
          <w:trHeight w:val="142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17</w:t>
            </w:r>
          </w:p>
        </w:tc>
        <w:tc>
          <w:tcPr>
            <w:tcW w:w="2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废弃电器电子产品处理基金</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缴入中央国库</w:t>
            </w:r>
          </w:p>
        </w:tc>
        <w:tc>
          <w:tcPr>
            <w:tcW w:w="10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eastAsia="方正仿宋_GBK" w:cs="Times New Roman"/>
                <w:sz w:val="24"/>
                <w:szCs w:val="24"/>
                <w:highlight w:val="none"/>
              </w:rPr>
            </w:pPr>
            <w:r>
              <w:rPr>
                <w:rFonts w:ascii="Times New Roman" w:hAnsi="Times New Roman" w:eastAsia="方正仿宋_GBK" w:cs="Times New Roman"/>
                <w:kern w:val="0"/>
                <w:sz w:val="24"/>
                <w:szCs w:val="24"/>
                <w:highlight w:val="none"/>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r>
    </w:tbl>
    <w:p>
      <w:pPr>
        <w:spacing w:line="500" w:lineRule="exact"/>
        <w:rPr>
          <w:rFonts w:hint="eastAsia" w:ascii="Times New Roman" w:hAnsi="Times New Roman" w:eastAsia="方正仿宋_GBK" w:cs="Times New Roman"/>
          <w:sz w:val="32"/>
          <w:szCs w:val="40"/>
        </w:rPr>
        <w:sectPr>
          <w:headerReference r:id="rId3" w:type="default"/>
          <w:footerReference r:id="rId4" w:type="default"/>
          <w:pgSz w:w="16838" w:h="11906" w:orient="landscape"/>
          <w:pgMar w:top="1531" w:right="1928" w:bottom="1304" w:left="1474" w:header="851" w:footer="1474" w:gutter="0"/>
          <w:pgNumType w:fmt="decimal"/>
          <w:cols w:space="720" w:num="1"/>
          <w:docGrid w:type="linesAndChars" w:linePitch="590" w:charSpace="0"/>
        </w:sectPr>
      </w:pPr>
    </w:p>
    <w:p>
      <w:pPr>
        <w:jc w:val="left"/>
        <w:rPr>
          <w:rFonts w:hint="eastAsia" w:eastAsia="方正仿宋_GBK"/>
          <w:bCs/>
          <w:color w:val="000000"/>
        </w:rPr>
      </w:pPr>
    </w:p>
    <w:sectPr>
      <w:pgSz w:w="16838" w:h="11906" w:orient="landscape"/>
      <w:pgMar w:top="1531" w:right="1928" w:bottom="1304" w:left="1474" w:header="851" w:footer="1474" w:gutter="0"/>
      <w:pgNumType w:fmt="decimal"/>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path/>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000C4D21"/>
    <w:rsid w:val="00003D06"/>
    <w:rsid w:val="00005189"/>
    <w:rsid w:val="0000695A"/>
    <w:rsid w:val="00010CF5"/>
    <w:rsid w:val="000115E7"/>
    <w:rsid w:val="00015A97"/>
    <w:rsid w:val="00016C9E"/>
    <w:rsid w:val="000316F1"/>
    <w:rsid w:val="000366D2"/>
    <w:rsid w:val="00040370"/>
    <w:rsid w:val="000405C6"/>
    <w:rsid w:val="0004291B"/>
    <w:rsid w:val="00042998"/>
    <w:rsid w:val="00042AA5"/>
    <w:rsid w:val="000478E8"/>
    <w:rsid w:val="000535B3"/>
    <w:rsid w:val="00054BB2"/>
    <w:rsid w:val="0006172D"/>
    <w:rsid w:val="00061C7E"/>
    <w:rsid w:val="000639B6"/>
    <w:rsid w:val="00074D14"/>
    <w:rsid w:val="000A7522"/>
    <w:rsid w:val="000C4BC7"/>
    <w:rsid w:val="000C4D21"/>
    <w:rsid w:val="000E2655"/>
    <w:rsid w:val="000E2AFD"/>
    <w:rsid w:val="000E69C5"/>
    <w:rsid w:val="000E7868"/>
    <w:rsid w:val="000F7D23"/>
    <w:rsid w:val="00103DD5"/>
    <w:rsid w:val="00106DF4"/>
    <w:rsid w:val="00111E48"/>
    <w:rsid w:val="001245DC"/>
    <w:rsid w:val="001444B1"/>
    <w:rsid w:val="0015056C"/>
    <w:rsid w:val="0015776B"/>
    <w:rsid w:val="0016046B"/>
    <w:rsid w:val="00161408"/>
    <w:rsid w:val="00165BC9"/>
    <w:rsid w:val="00172C7D"/>
    <w:rsid w:val="00173EA2"/>
    <w:rsid w:val="00174D0D"/>
    <w:rsid w:val="00184D72"/>
    <w:rsid w:val="0018720B"/>
    <w:rsid w:val="0018781C"/>
    <w:rsid w:val="001927DA"/>
    <w:rsid w:val="001A34E7"/>
    <w:rsid w:val="001A737D"/>
    <w:rsid w:val="001C4BB4"/>
    <w:rsid w:val="001F5474"/>
    <w:rsid w:val="001F5CA9"/>
    <w:rsid w:val="00205026"/>
    <w:rsid w:val="00227EB7"/>
    <w:rsid w:val="0023266F"/>
    <w:rsid w:val="00235268"/>
    <w:rsid w:val="0024055C"/>
    <w:rsid w:val="002463A1"/>
    <w:rsid w:val="002517FF"/>
    <w:rsid w:val="00253C6D"/>
    <w:rsid w:val="0028445C"/>
    <w:rsid w:val="00285B9D"/>
    <w:rsid w:val="00287D18"/>
    <w:rsid w:val="002949AE"/>
    <w:rsid w:val="002A4747"/>
    <w:rsid w:val="002A4C8C"/>
    <w:rsid w:val="002A7CD9"/>
    <w:rsid w:val="002B2A26"/>
    <w:rsid w:val="002B37D2"/>
    <w:rsid w:val="002B5716"/>
    <w:rsid w:val="002B57BC"/>
    <w:rsid w:val="002B6643"/>
    <w:rsid w:val="002C7D58"/>
    <w:rsid w:val="002D7210"/>
    <w:rsid w:val="002D7880"/>
    <w:rsid w:val="002E097B"/>
    <w:rsid w:val="002E1444"/>
    <w:rsid w:val="002F2D59"/>
    <w:rsid w:val="002F5E49"/>
    <w:rsid w:val="00304F31"/>
    <w:rsid w:val="003061C8"/>
    <w:rsid w:val="003107D4"/>
    <w:rsid w:val="0031181A"/>
    <w:rsid w:val="00312E49"/>
    <w:rsid w:val="00321405"/>
    <w:rsid w:val="003260F2"/>
    <w:rsid w:val="00326C81"/>
    <w:rsid w:val="00333E51"/>
    <w:rsid w:val="003353E2"/>
    <w:rsid w:val="003415C5"/>
    <w:rsid w:val="003421EF"/>
    <w:rsid w:val="00346A55"/>
    <w:rsid w:val="00354BCC"/>
    <w:rsid w:val="00362C2A"/>
    <w:rsid w:val="00383F9A"/>
    <w:rsid w:val="00384E12"/>
    <w:rsid w:val="0039497C"/>
    <w:rsid w:val="003A0BE3"/>
    <w:rsid w:val="003A331E"/>
    <w:rsid w:val="003A3D2A"/>
    <w:rsid w:val="003A4005"/>
    <w:rsid w:val="003B6E9F"/>
    <w:rsid w:val="003D1FDF"/>
    <w:rsid w:val="003D25BF"/>
    <w:rsid w:val="003D61DF"/>
    <w:rsid w:val="003E65BA"/>
    <w:rsid w:val="003E6EB0"/>
    <w:rsid w:val="003F2E93"/>
    <w:rsid w:val="003F4444"/>
    <w:rsid w:val="00400C61"/>
    <w:rsid w:val="00402325"/>
    <w:rsid w:val="00420889"/>
    <w:rsid w:val="00435E6C"/>
    <w:rsid w:val="00437D01"/>
    <w:rsid w:val="004416AD"/>
    <w:rsid w:val="004513DF"/>
    <w:rsid w:val="0045782F"/>
    <w:rsid w:val="00465548"/>
    <w:rsid w:val="00467B18"/>
    <w:rsid w:val="00474768"/>
    <w:rsid w:val="00476BFE"/>
    <w:rsid w:val="00482114"/>
    <w:rsid w:val="0048220E"/>
    <w:rsid w:val="0048289B"/>
    <w:rsid w:val="004835C8"/>
    <w:rsid w:val="00487CCD"/>
    <w:rsid w:val="0049724A"/>
    <w:rsid w:val="004A4469"/>
    <w:rsid w:val="004B4688"/>
    <w:rsid w:val="004C176C"/>
    <w:rsid w:val="004C4951"/>
    <w:rsid w:val="004D1FE2"/>
    <w:rsid w:val="004F28CC"/>
    <w:rsid w:val="004F649D"/>
    <w:rsid w:val="005070E5"/>
    <w:rsid w:val="00510948"/>
    <w:rsid w:val="00531EB4"/>
    <w:rsid w:val="0053369C"/>
    <w:rsid w:val="00535106"/>
    <w:rsid w:val="00535317"/>
    <w:rsid w:val="0054483C"/>
    <w:rsid w:val="00547343"/>
    <w:rsid w:val="0056389D"/>
    <w:rsid w:val="005644D5"/>
    <w:rsid w:val="00567563"/>
    <w:rsid w:val="00577CD9"/>
    <w:rsid w:val="00583330"/>
    <w:rsid w:val="005861FF"/>
    <w:rsid w:val="00593D77"/>
    <w:rsid w:val="005B3375"/>
    <w:rsid w:val="005D0D0E"/>
    <w:rsid w:val="005D5369"/>
    <w:rsid w:val="005E50EC"/>
    <w:rsid w:val="005F0CBC"/>
    <w:rsid w:val="005F328C"/>
    <w:rsid w:val="005F4373"/>
    <w:rsid w:val="005F74F6"/>
    <w:rsid w:val="0060516A"/>
    <w:rsid w:val="00615C90"/>
    <w:rsid w:val="00622534"/>
    <w:rsid w:val="00630C93"/>
    <w:rsid w:val="0063657A"/>
    <w:rsid w:val="00642E3C"/>
    <w:rsid w:val="0064577A"/>
    <w:rsid w:val="006563B8"/>
    <w:rsid w:val="00660C81"/>
    <w:rsid w:val="00670CCF"/>
    <w:rsid w:val="00677A3A"/>
    <w:rsid w:val="00677C9C"/>
    <w:rsid w:val="00682429"/>
    <w:rsid w:val="00695594"/>
    <w:rsid w:val="00696B65"/>
    <w:rsid w:val="006A73A0"/>
    <w:rsid w:val="006B0FCC"/>
    <w:rsid w:val="006B59E0"/>
    <w:rsid w:val="006C474C"/>
    <w:rsid w:val="006D1514"/>
    <w:rsid w:val="006D1BE8"/>
    <w:rsid w:val="006E2B67"/>
    <w:rsid w:val="006E47D1"/>
    <w:rsid w:val="006E6461"/>
    <w:rsid w:val="006F05B4"/>
    <w:rsid w:val="007035E6"/>
    <w:rsid w:val="00712CA1"/>
    <w:rsid w:val="00721553"/>
    <w:rsid w:val="00726289"/>
    <w:rsid w:val="007306B3"/>
    <w:rsid w:val="00732791"/>
    <w:rsid w:val="00733E32"/>
    <w:rsid w:val="00737724"/>
    <w:rsid w:val="0074024C"/>
    <w:rsid w:val="00740298"/>
    <w:rsid w:val="00743746"/>
    <w:rsid w:val="0076652F"/>
    <w:rsid w:val="00773AC8"/>
    <w:rsid w:val="0078379D"/>
    <w:rsid w:val="00786361"/>
    <w:rsid w:val="007950EC"/>
    <w:rsid w:val="007A414D"/>
    <w:rsid w:val="007B322B"/>
    <w:rsid w:val="007B5C60"/>
    <w:rsid w:val="007B7562"/>
    <w:rsid w:val="007D6614"/>
    <w:rsid w:val="007E0A49"/>
    <w:rsid w:val="008061EB"/>
    <w:rsid w:val="008137BA"/>
    <w:rsid w:val="008137FC"/>
    <w:rsid w:val="008141AB"/>
    <w:rsid w:val="00815A02"/>
    <w:rsid w:val="00816933"/>
    <w:rsid w:val="008252D1"/>
    <w:rsid w:val="0082533B"/>
    <w:rsid w:val="00832CCC"/>
    <w:rsid w:val="008442BF"/>
    <w:rsid w:val="00855368"/>
    <w:rsid w:val="00881977"/>
    <w:rsid w:val="00894C70"/>
    <w:rsid w:val="008A5DE7"/>
    <w:rsid w:val="008B64FC"/>
    <w:rsid w:val="008B6D78"/>
    <w:rsid w:val="008C3482"/>
    <w:rsid w:val="008D51EE"/>
    <w:rsid w:val="008E5DFF"/>
    <w:rsid w:val="008F7030"/>
    <w:rsid w:val="00904B81"/>
    <w:rsid w:val="00905FFC"/>
    <w:rsid w:val="00920908"/>
    <w:rsid w:val="00926714"/>
    <w:rsid w:val="00926CAB"/>
    <w:rsid w:val="00932BF0"/>
    <w:rsid w:val="00933A90"/>
    <w:rsid w:val="009377AC"/>
    <w:rsid w:val="00943C9B"/>
    <w:rsid w:val="00964A99"/>
    <w:rsid w:val="009662DA"/>
    <w:rsid w:val="00993EA1"/>
    <w:rsid w:val="009A05BD"/>
    <w:rsid w:val="009A77F5"/>
    <w:rsid w:val="009B1B0A"/>
    <w:rsid w:val="009E18A9"/>
    <w:rsid w:val="009E6C54"/>
    <w:rsid w:val="00A05994"/>
    <w:rsid w:val="00A06823"/>
    <w:rsid w:val="00A417BE"/>
    <w:rsid w:val="00A43CE6"/>
    <w:rsid w:val="00A4682A"/>
    <w:rsid w:val="00A46997"/>
    <w:rsid w:val="00A621BB"/>
    <w:rsid w:val="00A6704B"/>
    <w:rsid w:val="00A71875"/>
    <w:rsid w:val="00A71DEA"/>
    <w:rsid w:val="00AA563C"/>
    <w:rsid w:val="00AB6038"/>
    <w:rsid w:val="00AC2406"/>
    <w:rsid w:val="00AE27E5"/>
    <w:rsid w:val="00AE64F7"/>
    <w:rsid w:val="00AF3607"/>
    <w:rsid w:val="00AF45D2"/>
    <w:rsid w:val="00AF4674"/>
    <w:rsid w:val="00AF5CFC"/>
    <w:rsid w:val="00B06A21"/>
    <w:rsid w:val="00B1099E"/>
    <w:rsid w:val="00B41BCC"/>
    <w:rsid w:val="00B446FC"/>
    <w:rsid w:val="00B44C10"/>
    <w:rsid w:val="00B54FBC"/>
    <w:rsid w:val="00B57CB2"/>
    <w:rsid w:val="00B67B12"/>
    <w:rsid w:val="00B72F85"/>
    <w:rsid w:val="00B74DFD"/>
    <w:rsid w:val="00B820EB"/>
    <w:rsid w:val="00B82A18"/>
    <w:rsid w:val="00B82E84"/>
    <w:rsid w:val="00B910B9"/>
    <w:rsid w:val="00B928CD"/>
    <w:rsid w:val="00BC6737"/>
    <w:rsid w:val="00BD0974"/>
    <w:rsid w:val="00BD451C"/>
    <w:rsid w:val="00BE5CE0"/>
    <w:rsid w:val="00BE608D"/>
    <w:rsid w:val="00BF0F5E"/>
    <w:rsid w:val="00BF3169"/>
    <w:rsid w:val="00C20391"/>
    <w:rsid w:val="00C22023"/>
    <w:rsid w:val="00C229FC"/>
    <w:rsid w:val="00C24D20"/>
    <w:rsid w:val="00C32629"/>
    <w:rsid w:val="00C34409"/>
    <w:rsid w:val="00C43430"/>
    <w:rsid w:val="00C50B2D"/>
    <w:rsid w:val="00C569D1"/>
    <w:rsid w:val="00C64B0F"/>
    <w:rsid w:val="00C65658"/>
    <w:rsid w:val="00C73232"/>
    <w:rsid w:val="00C74A4B"/>
    <w:rsid w:val="00C85CA2"/>
    <w:rsid w:val="00C907B0"/>
    <w:rsid w:val="00C9508A"/>
    <w:rsid w:val="00CA1D09"/>
    <w:rsid w:val="00CB417E"/>
    <w:rsid w:val="00CE578C"/>
    <w:rsid w:val="00CE7E7E"/>
    <w:rsid w:val="00CF0B4E"/>
    <w:rsid w:val="00CF6A04"/>
    <w:rsid w:val="00D02D94"/>
    <w:rsid w:val="00D0691B"/>
    <w:rsid w:val="00D10117"/>
    <w:rsid w:val="00D14599"/>
    <w:rsid w:val="00D164C4"/>
    <w:rsid w:val="00D16679"/>
    <w:rsid w:val="00D17614"/>
    <w:rsid w:val="00D17AC9"/>
    <w:rsid w:val="00D20030"/>
    <w:rsid w:val="00D2221E"/>
    <w:rsid w:val="00D23954"/>
    <w:rsid w:val="00D3102F"/>
    <w:rsid w:val="00D35464"/>
    <w:rsid w:val="00D373C3"/>
    <w:rsid w:val="00D43D7D"/>
    <w:rsid w:val="00D64192"/>
    <w:rsid w:val="00D767FE"/>
    <w:rsid w:val="00D76957"/>
    <w:rsid w:val="00D91D54"/>
    <w:rsid w:val="00D967D3"/>
    <w:rsid w:val="00DA2D55"/>
    <w:rsid w:val="00DA3867"/>
    <w:rsid w:val="00DC4D2A"/>
    <w:rsid w:val="00DD006A"/>
    <w:rsid w:val="00DD05D0"/>
    <w:rsid w:val="00DD40AC"/>
    <w:rsid w:val="00DE1C53"/>
    <w:rsid w:val="00DE2C95"/>
    <w:rsid w:val="00DF535C"/>
    <w:rsid w:val="00E07B46"/>
    <w:rsid w:val="00E11A64"/>
    <w:rsid w:val="00E1612D"/>
    <w:rsid w:val="00E213ED"/>
    <w:rsid w:val="00E21593"/>
    <w:rsid w:val="00E320A5"/>
    <w:rsid w:val="00E35042"/>
    <w:rsid w:val="00E57861"/>
    <w:rsid w:val="00E67229"/>
    <w:rsid w:val="00E704E1"/>
    <w:rsid w:val="00E75564"/>
    <w:rsid w:val="00E82F61"/>
    <w:rsid w:val="00E8380F"/>
    <w:rsid w:val="00E86AC2"/>
    <w:rsid w:val="00E90888"/>
    <w:rsid w:val="00E95ACB"/>
    <w:rsid w:val="00E95AD9"/>
    <w:rsid w:val="00EA0E60"/>
    <w:rsid w:val="00EB4094"/>
    <w:rsid w:val="00EE170C"/>
    <w:rsid w:val="00EE1784"/>
    <w:rsid w:val="00EE35AF"/>
    <w:rsid w:val="00F07A22"/>
    <w:rsid w:val="00F144AE"/>
    <w:rsid w:val="00F34323"/>
    <w:rsid w:val="00F42DDF"/>
    <w:rsid w:val="00F46C72"/>
    <w:rsid w:val="00F50F05"/>
    <w:rsid w:val="00F51A9C"/>
    <w:rsid w:val="00F51B57"/>
    <w:rsid w:val="00F603C3"/>
    <w:rsid w:val="00F623BF"/>
    <w:rsid w:val="00F73A8E"/>
    <w:rsid w:val="00F762DC"/>
    <w:rsid w:val="00F82A29"/>
    <w:rsid w:val="00F90DCD"/>
    <w:rsid w:val="00FA2B12"/>
    <w:rsid w:val="00FA3CD7"/>
    <w:rsid w:val="00FA69B2"/>
    <w:rsid w:val="00FB12B3"/>
    <w:rsid w:val="00FB3402"/>
    <w:rsid w:val="00FC4838"/>
    <w:rsid w:val="00FE2183"/>
    <w:rsid w:val="00FE2F6C"/>
    <w:rsid w:val="00FE50A7"/>
    <w:rsid w:val="00FF066F"/>
    <w:rsid w:val="00FF594F"/>
    <w:rsid w:val="078450BB"/>
    <w:rsid w:val="0A132B51"/>
    <w:rsid w:val="154D3E6B"/>
    <w:rsid w:val="157346A5"/>
    <w:rsid w:val="2838384A"/>
    <w:rsid w:val="329B7EBD"/>
    <w:rsid w:val="44330544"/>
    <w:rsid w:val="4EFF2D6E"/>
    <w:rsid w:val="4F35579C"/>
    <w:rsid w:val="5887752A"/>
    <w:rsid w:val="59DC447F"/>
    <w:rsid w:val="5A0D5381"/>
    <w:rsid w:val="5A43541A"/>
    <w:rsid w:val="5DCF2C83"/>
    <w:rsid w:val="603965AC"/>
    <w:rsid w:val="695D3F41"/>
    <w:rsid w:val="69E1156A"/>
    <w:rsid w:val="6BD677A2"/>
    <w:rsid w:val="6F8A2142"/>
    <w:rsid w:val="718C200D"/>
    <w:rsid w:val="7794412F"/>
    <w:rsid w:val="7C8E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 w:val="21"/>
      <w:szCs w:val="21"/>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rFonts w:ascii="Times New Roman" w:hAnsi="Times New Roman" w:eastAsia="宋体" w:cs="Times New Roman"/>
      <w:b/>
      <w:bCs/>
    </w:rPr>
  </w:style>
  <w:style w:type="character" w:styleId="12">
    <w:name w:val="page number"/>
    <w:basedOn w:val="10"/>
    <w:autoRedefine/>
    <w:qFormat/>
    <w:uiPriority w:val="0"/>
    <w:rPr>
      <w:rFonts w:ascii="Times New Roman" w:hAnsi="Times New Roman" w:eastAsia="宋体" w:cs="Times New Roman"/>
    </w:rPr>
  </w:style>
  <w:style w:type="character" w:styleId="13">
    <w:name w:val="Emphasis"/>
    <w:basedOn w:val="10"/>
    <w:autoRedefine/>
    <w:qFormat/>
    <w:uiPriority w:val="0"/>
    <w:rPr>
      <w:rFonts w:ascii="Times New Roman" w:hAnsi="Times New Roman" w:eastAsia="宋体" w:cs="Times New Roman"/>
      <w:i/>
      <w:iCs/>
    </w:rPr>
  </w:style>
  <w:style w:type="character" w:customStyle="1" w:styleId="14">
    <w:name w:val="font212"/>
    <w:basedOn w:val="10"/>
    <w:autoRedefine/>
    <w:qFormat/>
    <w:uiPriority w:val="0"/>
    <w:rPr>
      <w:rFonts w:hint="eastAsia" w:ascii="方正仿宋_GBK" w:hAnsi="方正仿宋_GBK" w:eastAsia="方正仿宋_GBK" w:cs="方正仿宋_GBK"/>
      <w:color w:val="000000"/>
      <w:sz w:val="22"/>
      <w:szCs w:val="22"/>
      <w:u w:val="none"/>
    </w:rPr>
  </w:style>
  <w:style w:type="character" w:customStyle="1" w:styleId="15">
    <w:name w:val="font14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16">
    <w:name w:val="apple-converted-space"/>
    <w:basedOn w:val="10"/>
    <w:autoRedefine/>
    <w:qFormat/>
    <w:uiPriority w:val="0"/>
    <w:rPr>
      <w:rFonts w:ascii="Times New Roman" w:hAnsi="Times New Roman" w:eastAsia="宋体" w:cs="Times New Roman"/>
    </w:rPr>
  </w:style>
  <w:style w:type="character" w:customStyle="1" w:styleId="17">
    <w:name w:val="font281"/>
    <w:basedOn w:val="10"/>
    <w:autoRedefine/>
    <w:qFormat/>
    <w:uiPriority w:val="0"/>
    <w:rPr>
      <w:rFonts w:hint="default" w:ascii="Times New Roman" w:hAnsi="Times New Roman" w:eastAsia="宋体" w:cs="Times New Roman"/>
      <w:color w:val="FF0000"/>
      <w:sz w:val="22"/>
      <w:szCs w:val="22"/>
      <w:u w:val="none"/>
    </w:rPr>
  </w:style>
  <w:style w:type="character" w:customStyle="1" w:styleId="18">
    <w:name w:val="font01"/>
    <w:basedOn w:val="10"/>
    <w:autoRedefine/>
    <w:qFormat/>
    <w:uiPriority w:val="0"/>
    <w:rPr>
      <w:rFonts w:hint="default" w:ascii="Times New Roman" w:hAnsi="Times New Roman" w:eastAsia="宋体" w:cs="Times New Roman"/>
      <w:color w:val="000000"/>
      <w:sz w:val="24"/>
      <w:szCs w:val="24"/>
      <w:u w:val="none"/>
    </w:rPr>
  </w:style>
  <w:style w:type="character" w:customStyle="1" w:styleId="19">
    <w:name w:val="font251"/>
    <w:basedOn w:val="10"/>
    <w:autoRedefine/>
    <w:qFormat/>
    <w:uiPriority w:val="0"/>
    <w:rPr>
      <w:rFonts w:ascii="方正仿宋_GBK" w:hAnsi="方正仿宋_GBK" w:eastAsia="方正仿宋_GBK" w:cs="方正仿宋_GBK"/>
      <w:b/>
      <w:color w:val="000000"/>
      <w:sz w:val="24"/>
      <w:szCs w:val="24"/>
      <w:u w:val="none"/>
    </w:rPr>
  </w:style>
  <w:style w:type="character" w:customStyle="1" w:styleId="20">
    <w:name w:val="font11"/>
    <w:basedOn w:val="10"/>
    <w:autoRedefine/>
    <w:qFormat/>
    <w:uiPriority w:val="0"/>
    <w:rPr>
      <w:rFonts w:hint="default" w:ascii="Times New Roman" w:hAnsi="Times New Roman" w:eastAsia="宋体" w:cs="Times New Roman"/>
      <w:color w:val="000000"/>
      <w:sz w:val="24"/>
      <w:szCs w:val="24"/>
      <w:u w:val="none"/>
    </w:rPr>
  </w:style>
  <w:style w:type="character" w:customStyle="1" w:styleId="21">
    <w:name w:val="font121"/>
    <w:basedOn w:val="10"/>
    <w:autoRedefine/>
    <w:qFormat/>
    <w:uiPriority w:val="0"/>
    <w:rPr>
      <w:rFonts w:hint="eastAsia" w:ascii="方正仿宋_GBK" w:hAnsi="方正仿宋_GBK" w:eastAsia="方正仿宋_GBK" w:cs="方正仿宋_GBK"/>
      <w:color w:val="FF0000"/>
      <w:sz w:val="22"/>
      <w:szCs w:val="22"/>
      <w:u w:val="none"/>
    </w:rPr>
  </w:style>
  <w:style w:type="character" w:customStyle="1" w:styleId="22">
    <w:name w:val="font171"/>
    <w:basedOn w:val="10"/>
    <w:autoRedefine/>
    <w:qFormat/>
    <w:uiPriority w:val="0"/>
    <w:rPr>
      <w:rFonts w:hint="eastAsia" w:ascii="方正仿宋_GBK" w:hAnsi="方正仿宋_GBK" w:eastAsia="方正仿宋_GBK" w:cs="方正仿宋_GBK"/>
      <w:b/>
      <w:color w:val="000000"/>
      <w:sz w:val="20"/>
      <w:szCs w:val="20"/>
      <w:u w:val="none"/>
    </w:rPr>
  </w:style>
  <w:style w:type="character" w:customStyle="1" w:styleId="23">
    <w:name w:val="font21"/>
    <w:basedOn w:val="10"/>
    <w:autoRedefine/>
    <w:qFormat/>
    <w:uiPriority w:val="0"/>
    <w:rPr>
      <w:rFonts w:hint="eastAsia" w:ascii="宋体" w:hAnsi="宋体" w:eastAsia="宋体" w:cs="宋体"/>
      <w:b/>
      <w:color w:val="000000"/>
      <w:sz w:val="44"/>
      <w:szCs w:val="44"/>
      <w:u w:val="none"/>
    </w:rPr>
  </w:style>
  <w:style w:type="character" w:customStyle="1" w:styleId="24">
    <w:name w:val="font71"/>
    <w:basedOn w:val="10"/>
    <w:autoRedefine/>
    <w:qFormat/>
    <w:uiPriority w:val="0"/>
    <w:rPr>
      <w:rFonts w:hint="default" w:ascii="Times New Roman" w:hAnsi="Times New Roman" w:eastAsia="宋体" w:cs="Times New Roman"/>
      <w:color w:val="000000"/>
      <w:sz w:val="24"/>
      <w:szCs w:val="24"/>
      <w:u w:val="none"/>
    </w:rPr>
  </w:style>
  <w:style w:type="character" w:customStyle="1" w:styleId="25">
    <w:name w:val="font31"/>
    <w:basedOn w:val="10"/>
    <w:autoRedefine/>
    <w:qFormat/>
    <w:uiPriority w:val="0"/>
    <w:rPr>
      <w:rFonts w:hint="default" w:ascii="Times New Roman" w:hAnsi="Times New Roman" w:eastAsia="宋体" w:cs="Times New Roman"/>
      <w:color w:val="000000"/>
      <w:sz w:val="24"/>
      <w:szCs w:val="24"/>
      <w:u w:val="none"/>
    </w:rPr>
  </w:style>
  <w:style w:type="character" w:customStyle="1" w:styleId="26">
    <w:name w:val="font16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27">
    <w:name w:val="font221"/>
    <w:basedOn w:val="10"/>
    <w:autoRedefine/>
    <w:qFormat/>
    <w:uiPriority w:val="0"/>
    <w:rPr>
      <w:rFonts w:hint="eastAsia" w:ascii="方正仿宋_GBK" w:hAnsi="方正仿宋_GBK" w:eastAsia="方正仿宋_GBK" w:cs="方正仿宋_GBK"/>
      <w:color w:val="00B0F0"/>
      <w:sz w:val="24"/>
      <w:szCs w:val="24"/>
      <w:u w:val="none"/>
    </w:rPr>
  </w:style>
  <w:style w:type="character" w:customStyle="1" w:styleId="28">
    <w:name w:val="font15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29">
    <w:name w:val="font241"/>
    <w:basedOn w:val="10"/>
    <w:autoRedefine/>
    <w:qFormat/>
    <w:uiPriority w:val="0"/>
    <w:rPr>
      <w:rFonts w:hint="eastAsia" w:ascii="方正仿宋_GBK" w:hAnsi="方正仿宋_GBK" w:eastAsia="方正仿宋_GBK" w:cs="方正仿宋_GBK"/>
      <w:color w:val="000000"/>
      <w:sz w:val="20"/>
      <w:szCs w:val="20"/>
      <w:u w:val="none"/>
    </w:rPr>
  </w:style>
  <w:style w:type="character" w:customStyle="1" w:styleId="30">
    <w:name w:val="font271"/>
    <w:basedOn w:val="10"/>
    <w:autoRedefine/>
    <w:qFormat/>
    <w:uiPriority w:val="0"/>
    <w:rPr>
      <w:rFonts w:hint="default" w:ascii="Times New Roman" w:hAnsi="Times New Roman" w:eastAsia="宋体" w:cs="Times New Roman"/>
      <w:color w:val="000000"/>
      <w:sz w:val="22"/>
      <w:szCs w:val="22"/>
      <w:u w:val="none"/>
    </w:rPr>
  </w:style>
  <w:style w:type="character" w:customStyle="1" w:styleId="31">
    <w:name w:val="font231"/>
    <w:basedOn w:val="10"/>
    <w:autoRedefine/>
    <w:qFormat/>
    <w:uiPriority w:val="0"/>
    <w:rPr>
      <w:rFonts w:hint="eastAsia" w:ascii="方正仿宋_GBK" w:hAnsi="方正仿宋_GBK" w:eastAsia="方正仿宋_GBK" w:cs="方正仿宋_GBK"/>
      <w:color w:val="FF0000"/>
      <w:sz w:val="24"/>
      <w:szCs w:val="24"/>
      <w:u w:val="none"/>
    </w:rPr>
  </w:style>
  <w:style w:type="character" w:customStyle="1" w:styleId="32">
    <w:name w:val="font41"/>
    <w:basedOn w:val="10"/>
    <w:qFormat/>
    <w:uiPriority w:val="0"/>
    <w:rPr>
      <w:rFonts w:hint="default" w:ascii="Times New Roman" w:hAnsi="Times New Roman" w:eastAsia="宋体" w:cs="Times New Roman"/>
      <w:color w:val="00B0F0"/>
      <w:sz w:val="24"/>
      <w:szCs w:val="24"/>
      <w:u w:val="none"/>
    </w:rPr>
  </w:style>
  <w:style w:type="character" w:customStyle="1" w:styleId="33">
    <w:name w:val="font91"/>
    <w:basedOn w:val="10"/>
    <w:autoRedefine/>
    <w:qFormat/>
    <w:uiPriority w:val="0"/>
    <w:rPr>
      <w:rFonts w:hint="default" w:ascii="Times New Roman" w:hAnsi="Times New Roman" w:eastAsia="宋体" w:cs="Times New Roman"/>
      <w:color w:val="FF0000"/>
      <w:sz w:val="24"/>
      <w:szCs w:val="24"/>
      <w:u w:val="none"/>
    </w:rPr>
  </w:style>
  <w:style w:type="character" w:customStyle="1" w:styleId="34">
    <w:name w:val="font19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35">
    <w:name w:val="font81"/>
    <w:basedOn w:val="10"/>
    <w:autoRedefine/>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2024-01-10T03:46:00Z</dcterms:created>
  <dc:creator>Administrator</dc:creator>
  <cp:lastModifiedBy>Q</cp:lastModifiedBy>
  <dcterms:modified xsi:type="dcterms:W3CDTF">2024-03-15T10:03:51Z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CCF2FBDD5D554C51A3F9D554BF9CF851</vt:lpwstr>
  </property>
</Properties>
</file>