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峨山县公安局2020年</w:t>
      </w:r>
    </w:p>
    <w:p>
      <w:pPr>
        <w:pStyle w:val="4"/>
        <w:widowControl/>
        <w:spacing w:beforeAutospacing="0" w:afterAutospacing="0" w:line="7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政府信息公开工作年度报告</w:t>
      </w: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w:t>
      </w: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一、总体情况</w:t>
      </w:r>
    </w:p>
    <w:p>
      <w:pPr>
        <w:spacing w:line="600" w:lineRule="exact"/>
        <w:rPr>
          <w:rFonts w:ascii="Times New Roman" w:hAnsi="Times New Roman" w:eastAsia="方正仿宋_GBK" w:cs="Times New Roman"/>
          <w:kern w:val="0"/>
          <w:sz w:val="32"/>
          <w:szCs w:val="32"/>
        </w:rPr>
      </w:pPr>
      <w:r>
        <w:rPr>
          <w:rFonts w:hint="eastAsia" w:ascii="Times New Roman" w:hAnsi="Times New Roman" w:eastAsia="方正仿宋_GBK"/>
          <w:sz w:val="32"/>
          <w:szCs w:val="32"/>
        </w:rPr>
        <w:t xml:space="preserve">    </w:t>
      </w:r>
      <w:r>
        <w:rPr>
          <w:rFonts w:ascii="Times New Roman" w:hAnsi="Times New Roman" w:eastAsia="方正仿宋_GBK" w:cs="Times New Roman"/>
          <w:kern w:val="0"/>
          <w:sz w:val="32"/>
          <w:szCs w:val="32"/>
        </w:rPr>
        <w:t>根据《中华人民共和国政府信息公开条例》《云南省政府信息公开工作规定》和《峨山县政务公开领导小组办公室关于印发峨山县贯彻落实省政府办公厅20</w:t>
      </w:r>
      <w:r>
        <w:rPr>
          <w:rFonts w:hint="eastAsia" w:ascii="Times New Roman" w:hAnsi="Times New Roman" w:eastAsia="方正仿宋_GBK" w:cs="Times New Roman"/>
          <w:kern w:val="0"/>
          <w:sz w:val="32"/>
          <w:szCs w:val="32"/>
        </w:rPr>
        <w:t>20</w:t>
      </w:r>
      <w:r>
        <w:rPr>
          <w:rFonts w:ascii="Times New Roman" w:hAnsi="Times New Roman" w:eastAsia="方正仿宋_GBK" w:cs="Times New Roman"/>
          <w:kern w:val="0"/>
          <w:sz w:val="32"/>
          <w:szCs w:val="32"/>
        </w:rPr>
        <w:t>年政务公开工作要点分工方案的通知》相关部署要求，峨山县公安局结合工作实际，充分利用“门户</w:t>
      </w:r>
      <w:r>
        <w:rPr>
          <w:rFonts w:hint="eastAsia" w:ascii="Times New Roman" w:hAnsi="Times New Roman" w:eastAsia="方正仿宋_GBK" w:cs="Times New Roman"/>
          <w:kern w:val="0"/>
          <w:sz w:val="32"/>
          <w:szCs w:val="32"/>
        </w:rPr>
        <w:t>网</w:t>
      </w:r>
      <w:r>
        <w:rPr>
          <w:rFonts w:ascii="Times New Roman" w:hAnsi="Times New Roman" w:eastAsia="方正仿宋_GBK" w:cs="Times New Roman"/>
          <w:kern w:val="0"/>
          <w:sz w:val="32"/>
          <w:szCs w:val="32"/>
        </w:rPr>
        <w:t>站”等传统媒体和“微博、微信”等移动新媒体，丰富公开渠道，拓展公开内容，积极推动落实政府信息公开各项工作，切实增进公安机关行政工作透明度。</w:t>
      </w:r>
    </w:p>
    <w:p>
      <w:pPr>
        <w:spacing w:line="600" w:lineRule="exact"/>
        <w:ind w:firstLine="640" w:firstLineChars="200"/>
        <w:rPr>
          <w:rFonts w:ascii="Times New Roman" w:hAnsi="Times New Roman" w:eastAsia="方正仿宋_GBK" w:cs="Times New Roman"/>
          <w:kern w:val="0"/>
          <w:sz w:val="32"/>
          <w:szCs w:val="32"/>
        </w:rPr>
      </w:pPr>
      <w:r>
        <w:rPr>
          <w:rFonts w:ascii="方正楷体_GBK" w:hAnsi="Times New Roman" w:eastAsia="方正楷体_GBK" w:cs="Times New Roman"/>
          <w:sz w:val="32"/>
          <w:szCs w:val="32"/>
        </w:rPr>
        <w:t>（一）加强政府信息公开。</w:t>
      </w:r>
      <w:r>
        <w:rPr>
          <w:rFonts w:ascii="Times New Roman" w:hAnsi="Times New Roman" w:eastAsia="方正仿宋_GBK" w:cs="Times New Roman"/>
          <w:sz w:val="32"/>
          <w:szCs w:val="32"/>
        </w:rPr>
        <w:t>严格按照《峨山县贯彻云南省人民政府办公厅20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年政务公开工作要点分工方案》，补齐工作短板，提升政务公开工作的有效性、时效性，按质按时完成政府信息公开工作</w:t>
      </w:r>
      <w:r>
        <w:rPr>
          <w:rFonts w:ascii="Times New Roman" w:hAnsi="Times New Roman" w:eastAsia="方正仿宋_GBK" w:cs="Times New Roman"/>
          <w:kern w:val="0"/>
          <w:sz w:val="32"/>
          <w:szCs w:val="32"/>
        </w:rPr>
        <w:t>重点工作、法律法规、办事指南、办理证照等事项和信息，进一步促进执法办案、管理服务各项工作的公开透明和规范高效，保障人民群众的知情权、监督权，方便群众办事。同时，把政府信息公开工作纳入公安工作和队伍建设的总体安排部署，</w:t>
      </w:r>
      <w:r>
        <w:rPr>
          <w:rFonts w:ascii="Times New Roman" w:hAnsi="Times New Roman" w:eastAsia="方正仿宋_GBK" w:cs="Times New Roman"/>
          <w:sz w:val="32"/>
          <w:szCs w:val="32"/>
        </w:rPr>
        <w:t>实行同部署、同落实、同检查、同考核，</w:t>
      </w:r>
      <w:r>
        <w:rPr>
          <w:rFonts w:ascii="Times New Roman" w:hAnsi="Times New Roman" w:eastAsia="方正仿宋_GBK" w:cs="Times New Roman"/>
          <w:kern w:val="0"/>
          <w:sz w:val="32"/>
          <w:szCs w:val="32"/>
        </w:rPr>
        <w:t>有效促进了政府信息与政务公开各项工作的推进落实。</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年，共公开政府信息</w:t>
      </w:r>
      <w:r>
        <w:rPr>
          <w:rFonts w:hint="eastAsia" w:ascii="Times New Roman" w:hAnsi="Times New Roman" w:eastAsia="方正仿宋_GBK" w:cs="Times New Roman"/>
          <w:sz w:val="32"/>
          <w:szCs w:val="32"/>
        </w:rPr>
        <w:t>323</w:t>
      </w:r>
      <w:r>
        <w:rPr>
          <w:rFonts w:ascii="Times New Roman" w:hAnsi="Times New Roman" w:eastAsia="方正仿宋_GBK" w:cs="Times New Roman"/>
          <w:sz w:val="32"/>
          <w:szCs w:val="32"/>
        </w:rPr>
        <w:t>条，其中通知公告</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条、机构职能</w:t>
      </w:r>
      <w:r>
        <w:rPr>
          <w:rFonts w:hint="eastAsia" w:ascii="Times New Roman" w:hAnsi="Times New Roman" w:eastAsia="方正仿宋_GBK" w:cs="Times New Roman"/>
          <w:sz w:val="32"/>
          <w:szCs w:val="32"/>
        </w:rPr>
        <w:t>1</w:t>
      </w:r>
      <w:r>
        <w:rPr>
          <w:rFonts w:ascii="Times New Roman" w:hAnsi="Times New Roman" w:eastAsia="方正仿宋_GBK" w:cs="Times New Roman"/>
          <w:sz w:val="32"/>
          <w:szCs w:val="32"/>
        </w:rPr>
        <w:t>条、工作动态</w:t>
      </w:r>
      <w:r>
        <w:rPr>
          <w:rFonts w:hint="eastAsia" w:ascii="Times New Roman" w:hAnsi="Times New Roman" w:eastAsia="方正仿宋_GBK" w:cs="Times New Roman"/>
          <w:sz w:val="32"/>
          <w:szCs w:val="32"/>
        </w:rPr>
        <w:t>289</w:t>
      </w:r>
      <w:r>
        <w:rPr>
          <w:rFonts w:ascii="Times New Roman" w:hAnsi="Times New Roman" w:eastAsia="方正仿宋_GBK" w:cs="Times New Roman"/>
          <w:sz w:val="32"/>
          <w:szCs w:val="32"/>
        </w:rPr>
        <w:t>条、重点领域信息公开</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条、财政预算公开</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条、政策解读2条。</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t>（二）加强政策解读工作。</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年，峨山县公安局没有以县人民政府或县政府办公室名义印发的规范性文件</w:t>
      </w:r>
      <w:r>
        <w:rPr>
          <w:rFonts w:hint="eastAsia" w:ascii="Times New Roman" w:hAnsi="Times New Roman" w:eastAsia="方正仿宋_GBK" w:cs="Times New Roman"/>
          <w:sz w:val="32"/>
          <w:szCs w:val="32"/>
        </w:rPr>
        <w:t>。</w:t>
      </w:r>
      <w:r>
        <w:rPr>
          <w:rFonts w:ascii="Times New Roman" w:hAnsi="方正仿宋_GBK" w:eastAsia="方正仿宋_GBK" w:cs="Times New Roman"/>
          <w:sz w:val="32"/>
          <w:szCs w:val="32"/>
        </w:rPr>
        <w:t>为及时回应社会关切，切实增强做好政策解读工作的自觉性和主动性</w:t>
      </w:r>
      <w:r>
        <w:rPr>
          <w:rFonts w:hint="eastAsia" w:ascii="Times New Roman" w:hAnsi="方正仿宋_GBK" w:eastAsia="方正仿宋_GBK" w:cs="Times New Roman"/>
          <w:sz w:val="32"/>
          <w:szCs w:val="32"/>
        </w:rPr>
        <w:t>，</w:t>
      </w:r>
      <w:r>
        <w:rPr>
          <w:rFonts w:ascii="Times New Roman" w:hAnsi="Times New Roman" w:eastAsia="方正仿宋_GBK" w:cs="Times New Roman"/>
          <w:sz w:val="32"/>
          <w:szCs w:val="32"/>
        </w:rPr>
        <w:t>我局将</w:t>
      </w:r>
      <w:r>
        <w:rPr>
          <w:rFonts w:ascii="Times New Roman" w:hAnsi="Times New Roman" w:eastAsia="方正仿宋_GBK" w:cs="Times New Roman"/>
          <w:bCs/>
          <w:sz w:val="32"/>
          <w:szCs w:val="32"/>
        </w:rPr>
        <w:t>云南省公安厅《关于办理赌博违法案件裁量标准的指导意见》、《云南省公安机关户籍业务服务指南》解读、《</w:t>
      </w:r>
      <w:r>
        <w:rPr>
          <w:rFonts w:ascii="Times New Roman" w:hAnsi="Times New Roman" w:eastAsia="方正仿宋_GBK" w:cs="Times New Roman"/>
          <w:sz w:val="32"/>
          <w:szCs w:val="32"/>
        </w:rPr>
        <w:t>云南“一部手机办事通”完整图文攻略</w:t>
      </w:r>
      <w:r>
        <w:rPr>
          <w:rFonts w:ascii="Times New Roman" w:hAnsi="Times New Roman" w:eastAsia="方正仿宋_GBK" w:cs="Times New Roman"/>
          <w:bCs/>
          <w:sz w:val="32"/>
          <w:szCs w:val="32"/>
        </w:rPr>
        <w:t>》</w:t>
      </w:r>
      <w:r>
        <w:rPr>
          <w:rFonts w:ascii="Times New Roman" w:hAnsi="Times New Roman" w:eastAsia="方正仿宋_GBK" w:cs="Times New Roman"/>
          <w:sz w:val="32"/>
          <w:szCs w:val="32"/>
        </w:rPr>
        <w:t>转发至峨山县公安局信息公开网站。同时，本着“让信息多跑路、让群众少跑腿”为民服务宗旨，在双江派出所设“24小时便民服务超市”，助推“互联网+政务服务”工作，20</w:t>
      </w:r>
      <w:r>
        <w:rPr>
          <w:rFonts w:hint="eastAsia" w:ascii="Times New Roman" w:hAnsi="Times New Roman" w:eastAsia="方正仿宋_GBK" w:cs="Times New Roman"/>
          <w:sz w:val="32"/>
          <w:szCs w:val="32"/>
        </w:rPr>
        <w:t>20</w:t>
      </w:r>
      <w:r>
        <w:rPr>
          <w:rFonts w:ascii="Times New Roman" w:hAnsi="Times New Roman" w:eastAsia="方正仿宋_GBK" w:cs="Times New Roman"/>
          <w:sz w:val="32"/>
          <w:szCs w:val="32"/>
        </w:rPr>
        <w:t>年群众通过户政超市办理身份证</w:t>
      </w:r>
      <w:r>
        <w:rPr>
          <w:rFonts w:hint="eastAsia" w:ascii="Times New Roman" w:hAnsi="Times New Roman" w:eastAsia="方正仿宋_GBK" w:cs="Times New Roman"/>
          <w:color w:val="000000" w:themeColor="text1"/>
          <w:sz w:val="32"/>
          <w:szCs w:val="32"/>
          <w14:textFill>
            <w14:solidFill>
              <w14:schemeClr w14:val="tx1"/>
            </w14:solidFill>
          </w14:textFill>
        </w:rPr>
        <w:t>483</w:t>
      </w:r>
      <w:r>
        <w:rPr>
          <w:rFonts w:ascii="Times New Roman" w:hAnsi="Times New Roman" w:eastAsia="方正仿宋_GBK" w:cs="Times New Roman"/>
          <w:sz w:val="32"/>
          <w:szCs w:val="32"/>
        </w:rPr>
        <w:t>余张。</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方正楷体_GBK" w:hAnsi="Times New Roman" w:eastAsia="方正楷体_GBK" w:cs="Times New Roman"/>
          <w:sz w:val="32"/>
          <w:szCs w:val="32"/>
        </w:rPr>
        <w:t>（三）加强信息公开载体建设。</w:t>
      </w:r>
      <w:r>
        <w:rPr>
          <w:rFonts w:ascii="Times New Roman" w:hAnsi="Times New Roman" w:eastAsia="方正仿宋_GBK" w:cs="Times New Roman"/>
          <w:sz w:val="32"/>
          <w:szCs w:val="32"/>
        </w:rPr>
        <w:t>由指挥中心安排专人负责政府网站信息管理，强化信息发布审核和网站维护工作，制定县局政务信息网站管理办法，定期对工作进展通报，确保信息发布的及时性、准确性、有效性。按照“周研读、月审查”反复核对，确保发布信息的严谨性、权威性，坚决杜绝我局发布的信息出现多字少字甚至错别字等错误。</w:t>
      </w: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方正楷体_GBK" w:hAnsi="Times New Roman" w:eastAsia="方正楷体_GBK" w:cs="Times New Roman"/>
          <w:sz w:val="32"/>
          <w:szCs w:val="32"/>
        </w:rPr>
        <w:t>（四）畅通信息公开渠道。</w:t>
      </w:r>
      <w:r>
        <w:rPr>
          <w:rFonts w:ascii="Times New Roman" w:hAnsi="Times New Roman" w:eastAsia="方正仿宋_GBK" w:cs="Times New Roman"/>
          <w:sz w:val="32"/>
          <w:szCs w:val="32"/>
        </w:rPr>
        <w:t>立足“门户网站”、“一微博、二微信、一头条”（玉溪峨山警方新浪微博、玉溪峨山交警微信、玉溪峨山警方微信、峨山警方今日头条）公开渠道，坚持以群众需求为导向，对社会关注度高的案事件主动发声、及时澄清，取得了良好的法律效果和社会效果。一年来，共通过政府信息公开网站发通知公告、政策解读、动态信息、办事指南等信息300余条；通过峨山公安微博、微信、峨山交警微信发布信息</w:t>
      </w:r>
      <w:r>
        <w:rPr>
          <w:rFonts w:hint="eastAsia" w:ascii="Times New Roman" w:hAnsi="Times New Roman" w:eastAsia="方正仿宋_GBK" w:cs="Times New Roman"/>
          <w:color w:val="000000" w:themeColor="text1"/>
          <w:sz w:val="32"/>
          <w:szCs w:val="32"/>
          <w14:textFill>
            <w14:solidFill>
              <w14:schemeClr w14:val="tx1"/>
            </w14:solidFill>
          </w14:textFill>
        </w:rPr>
        <w:t>1564</w:t>
      </w:r>
      <w:r>
        <w:rPr>
          <w:rFonts w:ascii="Times New Roman" w:hAnsi="Times New Roman" w:eastAsia="方正仿宋_GBK" w:cs="Times New Roman"/>
          <w:sz w:val="32"/>
          <w:szCs w:val="32"/>
        </w:rPr>
        <w:t>余条。</w:t>
      </w: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  二、主动公开政府信息情况</w:t>
      </w:r>
    </w:p>
    <w:tbl>
      <w:tblPr>
        <w:tblStyle w:val="5"/>
        <w:tblW w:w="8456"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711"/>
        <w:gridCol w:w="1915"/>
        <w:gridCol w:w="1915"/>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本年新制作数量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本年新公开数量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对外公开总数量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规章</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规范性文件</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jc w:val="center"/>
              <w:rPr>
                <w:rFonts w:ascii="仿宋" w:hAnsi="仿宋" w:eastAsia="仿宋" w:cs="仿宋"/>
                <w:b/>
                <w:bCs/>
                <w:sz w:val="24"/>
              </w:rPr>
            </w:pPr>
            <w:r>
              <w:rPr>
                <w:rFonts w:hint="eastAsia" w:ascii="仿宋" w:hAnsi="仿宋" w:eastAsia="仿宋" w:cs="仿宋"/>
                <w:b/>
                <w:bCs/>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上一年项目数量</w:t>
            </w:r>
          </w:p>
        </w:tc>
        <w:tc>
          <w:tcPr>
            <w:tcW w:w="1915"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本年增/减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行政许可</w:t>
            </w:r>
          </w:p>
        </w:tc>
        <w:tc>
          <w:tcPr>
            <w:tcW w:w="1915" w:type="dxa"/>
            <w:tcBorders>
              <w:tl2br w:val="nil"/>
              <w:tr2bl w:val="nil"/>
            </w:tcBorders>
            <w:shd w:val="clear" w:color="auto" w:fill="auto"/>
            <w:vAlign w:val="center"/>
          </w:tcPr>
          <w:p>
            <w:pP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rPr>
                <w:rFonts w:ascii="仿宋" w:hAnsi="仿宋" w:eastAsia="仿宋" w:cs="仿宋"/>
                <w:b/>
                <w:bCs/>
              </w:rPr>
            </w:pPr>
            <w:r>
              <w:rPr>
                <w:rFonts w:hint="eastAsia" w:ascii="仿宋" w:hAnsi="仿宋" w:eastAsia="仿宋" w:cs="仿宋"/>
                <w:b/>
                <w:bCs/>
              </w:rPr>
              <w:t>其他对外管理服务事项</w:t>
            </w:r>
          </w:p>
        </w:tc>
        <w:tc>
          <w:tcPr>
            <w:tcW w:w="1915" w:type="dxa"/>
            <w:tcBorders>
              <w:tl2br w:val="nil"/>
              <w:tr2bl w:val="nil"/>
            </w:tcBorders>
            <w:shd w:val="clear" w:color="auto" w:fill="auto"/>
            <w:vAlign w:val="center"/>
          </w:tcPr>
          <w:p>
            <w:pP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上一年项目数量</w:t>
            </w:r>
          </w:p>
        </w:tc>
        <w:tc>
          <w:tcPr>
            <w:tcW w:w="1915"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本年增/减</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行政处罚</w:t>
            </w:r>
          </w:p>
        </w:tc>
        <w:tc>
          <w:tcPr>
            <w:tcW w:w="1915" w:type="dxa"/>
            <w:tcBorders>
              <w:tl2br w:val="nil"/>
              <w:tr2bl w:val="nil"/>
            </w:tcBorders>
            <w:shd w:val="clear" w:color="auto" w:fill="auto"/>
            <w:vAlign w:val="center"/>
          </w:tcPr>
          <w:p>
            <w:pPr>
              <w:rPr>
                <w:rFonts w:hint="default" w:ascii="仿宋" w:hAnsi="仿宋" w:eastAsia="仿宋" w:cs="仿宋"/>
                <w:b/>
                <w:bCs/>
                <w:sz w:val="24"/>
                <w:lang w:val="en-US" w:eastAsia="zh-CN"/>
              </w:rPr>
            </w:pPr>
            <w:r>
              <w:rPr>
                <w:rFonts w:hint="eastAsia" w:ascii="仿宋" w:hAnsi="仿宋" w:eastAsia="仿宋" w:cs="仿宋"/>
                <w:b/>
                <w:bCs/>
                <w:sz w:val="24"/>
                <w:lang w:val="en-US" w:eastAsia="zh-CN"/>
              </w:rPr>
              <w:t>27</w:t>
            </w:r>
          </w:p>
        </w:tc>
        <w:tc>
          <w:tcPr>
            <w:tcW w:w="1915" w:type="dxa"/>
            <w:tcBorders>
              <w:tl2br w:val="nil"/>
              <w:tr2bl w:val="nil"/>
            </w:tcBorders>
            <w:shd w:val="clear" w:color="auto" w:fill="auto"/>
            <w:vAlign w:val="center"/>
          </w:tcPr>
          <w:p>
            <w:pPr>
              <w:rPr>
                <w:rFonts w:hint="default" w:ascii="仿宋" w:hAnsi="仿宋" w:eastAsia="仿宋" w:cs="仿宋"/>
                <w:b/>
                <w:bCs/>
                <w:sz w:val="24"/>
                <w:lang w:val="en-US" w:eastAsia="zh-CN"/>
              </w:rPr>
            </w:pPr>
            <w:r>
              <w:rPr>
                <w:rFonts w:hint="eastAsia" w:ascii="仿宋" w:hAnsi="仿宋" w:eastAsia="仿宋" w:cs="仿宋"/>
                <w:b/>
                <w:bCs/>
                <w:sz w:val="24"/>
                <w:lang w:val="en-US" w:eastAsia="zh-CN"/>
              </w:rPr>
              <w:t>62</w:t>
            </w:r>
            <w:bookmarkStart w:id="0" w:name="_GoBack"/>
            <w:bookmarkEnd w:id="0"/>
          </w:p>
        </w:tc>
        <w:tc>
          <w:tcPr>
            <w:tcW w:w="1915" w:type="dxa"/>
            <w:tcBorders>
              <w:tl2br w:val="nil"/>
              <w:tr2bl w:val="nil"/>
            </w:tcBorders>
            <w:shd w:val="clear" w:color="auto" w:fill="auto"/>
            <w:vAlign w:val="center"/>
          </w:tcPr>
          <w:p>
            <w:pPr>
              <w:rPr>
                <w:rFonts w:hint="default" w:ascii="仿宋" w:hAnsi="仿宋" w:eastAsia="仿宋" w:cs="仿宋"/>
                <w:b/>
                <w:bCs/>
                <w:sz w:val="24"/>
                <w:lang w:val="en-US" w:eastAsia="zh-CN"/>
              </w:rPr>
            </w:pPr>
            <w:r>
              <w:rPr>
                <w:rFonts w:hint="eastAsia" w:ascii="仿宋" w:hAnsi="仿宋" w:eastAsia="仿宋" w:cs="仿宋"/>
                <w:b/>
                <w:bCs/>
                <w:sz w:val="24"/>
                <w:lang w:val="en-US" w:eastAsia="zh-CN"/>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行政强制</w:t>
            </w:r>
          </w:p>
        </w:tc>
        <w:tc>
          <w:tcPr>
            <w:tcW w:w="1915" w:type="dxa"/>
            <w:tcBorders>
              <w:tl2br w:val="nil"/>
              <w:tr2bl w:val="nil"/>
            </w:tcBorders>
            <w:shd w:val="clear" w:color="auto" w:fill="auto"/>
            <w:vAlign w:val="center"/>
          </w:tcPr>
          <w:p>
            <w:pPr>
              <w:rPr>
                <w:rFonts w:ascii="仿宋" w:hAnsi="仿宋" w:eastAsia="仿宋" w:cs="仿宋"/>
                <w:b/>
                <w:bCs/>
                <w:sz w:val="24"/>
              </w:rPr>
            </w:pPr>
            <w:r>
              <w:rPr>
                <w:rFonts w:hint="eastAsia" w:ascii="仿宋" w:hAnsi="仿宋" w:eastAsia="仿宋" w:cs="仿宋"/>
                <w:b/>
                <w:bCs/>
                <w:sz w:val="24"/>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c>
          <w:tcPr>
            <w:tcW w:w="1915" w:type="dxa"/>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rPr>
                <w:rFonts w:ascii="仿宋" w:hAnsi="仿宋" w:eastAsia="仿宋" w:cs="仿宋"/>
                <w:b/>
                <w:bCs/>
              </w:rPr>
            </w:pPr>
            <w:r>
              <w:rPr>
                <w:rFonts w:hint="eastAsia" w:ascii="仿宋" w:hAnsi="仿宋" w:eastAsia="仿宋" w:cs="仿宋"/>
                <w:b/>
                <w:bCs/>
              </w:rPr>
              <w:t>上一年项目数量</w:t>
            </w:r>
          </w:p>
        </w:tc>
        <w:tc>
          <w:tcPr>
            <w:tcW w:w="3830" w:type="dxa"/>
            <w:gridSpan w:val="2"/>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本年增/减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行政事业性收费</w:t>
            </w:r>
          </w:p>
        </w:tc>
        <w:tc>
          <w:tcPr>
            <w:tcW w:w="1915" w:type="dxa"/>
            <w:tcBorders>
              <w:tl2br w:val="nil"/>
              <w:tr2bl w:val="nil"/>
            </w:tcBorders>
            <w:shd w:val="clear" w:color="auto" w:fill="auto"/>
            <w:vAlign w:val="center"/>
          </w:tcPr>
          <w:p>
            <w:pPr>
              <w:widowControl/>
              <w:jc w:val="left"/>
              <w:rPr>
                <w:rFonts w:ascii="仿宋" w:hAnsi="仿宋" w:eastAsia="仿宋" w:cs="仿宋"/>
                <w:b/>
                <w:bCs/>
                <w:sz w:val="24"/>
              </w:rPr>
            </w:pPr>
            <w:r>
              <w:rPr>
                <w:rFonts w:hint="eastAsia" w:ascii="仿宋" w:hAnsi="仿宋" w:eastAsia="仿宋" w:cs="仿宋"/>
                <w:b/>
                <w:bCs/>
                <w:sz w:val="24"/>
              </w:rPr>
              <w:t>0</w:t>
            </w:r>
          </w:p>
        </w:tc>
        <w:tc>
          <w:tcPr>
            <w:tcW w:w="3830" w:type="dxa"/>
            <w:gridSpan w:val="2"/>
            <w:tcBorders>
              <w:tl2br w:val="nil"/>
              <w:tr2bl w:val="nil"/>
            </w:tcBorders>
            <w:shd w:val="clear" w:color="auto" w:fill="auto"/>
            <w:vAlign w:val="center"/>
          </w:tcPr>
          <w:p>
            <w:pP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8456" w:type="dxa"/>
            <w:gridSpan w:val="4"/>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第二十条第（九）项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信息内容</w:t>
            </w:r>
          </w:p>
        </w:tc>
        <w:tc>
          <w:tcPr>
            <w:tcW w:w="1915" w:type="dxa"/>
            <w:tcBorders>
              <w:tl2br w:val="nil"/>
              <w:tr2bl w:val="nil"/>
            </w:tcBorders>
            <w:shd w:val="clear" w:color="auto" w:fill="auto"/>
            <w:vAlign w:val="center"/>
          </w:tcPr>
          <w:p>
            <w:pPr>
              <w:pStyle w:val="4"/>
              <w:widowControl/>
              <w:spacing w:beforeAutospacing="0" w:afterAutospacing="0"/>
              <w:jc w:val="both"/>
              <w:rPr>
                <w:rFonts w:ascii="仿宋" w:hAnsi="仿宋" w:eastAsia="仿宋" w:cs="仿宋"/>
                <w:b/>
                <w:bCs/>
              </w:rPr>
            </w:pPr>
            <w:r>
              <w:rPr>
                <w:rFonts w:hint="eastAsia" w:ascii="仿宋" w:hAnsi="仿宋" w:eastAsia="仿宋" w:cs="仿宋"/>
                <w:b/>
                <w:bCs/>
              </w:rPr>
              <w:t>采购项目数量</w:t>
            </w:r>
          </w:p>
        </w:tc>
        <w:tc>
          <w:tcPr>
            <w:tcW w:w="3830" w:type="dxa"/>
            <w:gridSpan w:val="2"/>
            <w:tcBorders>
              <w:tl2br w:val="nil"/>
              <w:tr2bl w:val="nil"/>
            </w:tcBorders>
            <w:shd w:val="clear" w:color="auto" w:fill="auto"/>
            <w:vAlign w:val="center"/>
          </w:tcPr>
          <w:p>
            <w:pPr>
              <w:pStyle w:val="4"/>
              <w:widowControl/>
              <w:spacing w:beforeAutospacing="0" w:afterAutospacing="0"/>
              <w:ind w:firstLine="420"/>
              <w:jc w:val="center"/>
              <w:rPr>
                <w:rFonts w:ascii="仿宋" w:hAnsi="仿宋" w:eastAsia="仿宋" w:cs="仿宋"/>
                <w:b/>
                <w:bCs/>
              </w:rPr>
            </w:pPr>
            <w:r>
              <w:rPr>
                <w:rFonts w:hint="eastAsia" w:ascii="仿宋" w:hAnsi="仿宋" w:eastAsia="仿宋" w:cs="仿宋"/>
                <w:b/>
                <w:bCs/>
              </w:rPr>
              <w:t>采购总金额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tblCellSpacing w:w="0" w:type="dxa"/>
          <w:jc w:val="center"/>
        </w:trPr>
        <w:tc>
          <w:tcPr>
            <w:tcW w:w="2711" w:type="dxa"/>
            <w:tcBorders>
              <w:tl2br w:val="nil"/>
              <w:tr2bl w:val="nil"/>
            </w:tcBorders>
            <w:shd w:val="clear" w:color="auto" w:fill="auto"/>
            <w:vAlign w:val="center"/>
          </w:tcPr>
          <w:p>
            <w:pPr>
              <w:pStyle w:val="4"/>
              <w:widowControl/>
              <w:spacing w:beforeAutospacing="0" w:afterAutospacing="0"/>
              <w:ind w:firstLine="420"/>
              <w:rPr>
                <w:rFonts w:ascii="仿宋" w:hAnsi="仿宋" w:eastAsia="仿宋" w:cs="仿宋"/>
                <w:b/>
                <w:bCs/>
              </w:rPr>
            </w:pPr>
            <w:r>
              <w:rPr>
                <w:rFonts w:hint="eastAsia" w:ascii="仿宋" w:hAnsi="仿宋" w:eastAsia="仿宋" w:cs="仿宋"/>
                <w:b/>
                <w:bCs/>
              </w:rPr>
              <w:t>政府集中采购</w:t>
            </w:r>
          </w:p>
        </w:tc>
        <w:tc>
          <w:tcPr>
            <w:tcW w:w="1915" w:type="dxa"/>
            <w:tcBorders>
              <w:tl2br w:val="nil"/>
              <w:tr2bl w:val="nil"/>
            </w:tcBorders>
            <w:shd w:val="clear" w:color="auto" w:fill="auto"/>
            <w:vAlign w:val="center"/>
          </w:tcPr>
          <w:p>
            <w:pPr>
              <w:widowControl/>
              <w:jc w:val="center"/>
              <w:rPr>
                <w:rFonts w:ascii="仿宋" w:hAnsi="仿宋" w:eastAsia="仿宋" w:cs="仿宋"/>
                <w:b/>
                <w:bCs/>
                <w:sz w:val="24"/>
              </w:rPr>
            </w:pPr>
            <w:r>
              <w:rPr>
                <w:rFonts w:hint="eastAsia" w:ascii="仿宋" w:hAnsi="仿宋" w:eastAsia="仿宋" w:cs="仿宋"/>
                <w:b/>
                <w:bCs/>
                <w:sz w:val="24"/>
              </w:rPr>
              <w:t>0</w:t>
            </w:r>
          </w:p>
        </w:tc>
        <w:tc>
          <w:tcPr>
            <w:tcW w:w="3830" w:type="dxa"/>
            <w:gridSpan w:val="2"/>
            <w:tcBorders>
              <w:tl2br w:val="nil"/>
              <w:tr2bl w:val="nil"/>
            </w:tcBorders>
            <w:shd w:val="clear" w:color="auto" w:fill="auto"/>
            <w:vAlign w:val="center"/>
          </w:tcPr>
          <w:p>
            <w:pPr>
              <w:jc w:val="center"/>
              <w:rPr>
                <w:rFonts w:hint="eastAsia" w:ascii="仿宋" w:hAnsi="仿宋" w:eastAsia="仿宋" w:cs="仿宋"/>
                <w:b/>
                <w:bCs/>
                <w:sz w:val="24"/>
                <w:lang w:val="en-US" w:eastAsia="zh-CN"/>
              </w:rPr>
            </w:pPr>
            <w:r>
              <w:rPr>
                <w:rFonts w:hint="eastAsia" w:ascii="仿宋" w:hAnsi="仿宋" w:eastAsia="仿宋" w:cs="仿宋"/>
                <w:b/>
                <w:bCs/>
                <w:sz w:val="24"/>
                <w:lang w:val="en-US" w:eastAsia="zh-CN"/>
              </w:rPr>
              <w:t>0</w:t>
            </w:r>
          </w:p>
        </w:tc>
      </w:tr>
    </w:tbl>
    <w:p>
      <w:pPr>
        <w:pStyle w:val="4"/>
        <w:widowControl/>
        <w:spacing w:beforeAutospacing="0" w:afterAutospacing="0"/>
        <w:ind w:firstLine="420"/>
        <w:rPr>
          <w:rFonts w:ascii="黑体" w:hAnsi="黑体" w:eastAsia="黑体" w:cs="黑体"/>
          <w:sz w:val="32"/>
          <w:szCs w:val="32"/>
        </w:rPr>
      </w:pPr>
    </w:p>
    <w:p>
      <w:pPr>
        <w:pStyle w:val="4"/>
        <w:widowControl/>
        <w:spacing w:beforeAutospacing="0" w:afterAutospacing="0"/>
        <w:rPr>
          <w:rFonts w:ascii="黑体" w:hAnsi="黑体" w:eastAsia="黑体" w:cs="黑体"/>
          <w:sz w:val="32"/>
          <w:szCs w:val="32"/>
        </w:rPr>
      </w:pP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三、收到和处理政府信息公开申请情况</w:t>
      </w:r>
    </w:p>
    <w:tbl>
      <w:tblPr>
        <w:tblStyle w:val="5"/>
        <w:tblW w:w="8356"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72"/>
        <w:gridCol w:w="892"/>
        <w:gridCol w:w="2249"/>
        <w:gridCol w:w="555"/>
        <w:gridCol w:w="675"/>
        <w:gridCol w:w="675"/>
        <w:gridCol w:w="725"/>
        <w:gridCol w:w="862"/>
        <w:gridCol w:w="637"/>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vMerge w:val="restart"/>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（本列数据的勾稽关系为：第一项加第二项之和，等于第三项加第四项之和）</w:t>
            </w:r>
          </w:p>
        </w:tc>
        <w:tc>
          <w:tcPr>
            <w:tcW w:w="4743" w:type="dxa"/>
            <w:gridSpan w:val="7"/>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555"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自然人</w:t>
            </w:r>
          </w:p>
        </w:tc>
        <w:tc>
          <w:tcPr>
            <w:tcW w:w="3574"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法人或其他组织</w:t>
            </w:r>
          </w:p>
        </w:tc>
        <w:tc>
          <w:tcPr>
            <w:tcW w:w="614"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555"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7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商业企业</w:t>
            </w:r>
          </w:p>
        </w:tc>
        <w:tc>
          <w:tcPr>
            <w:tcW w:w="67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科研机构</w:t>
            </w:r>
          </w:p>
        </w:tc>
        <w:tc>
          <w:tcPr>
            <w:tcW w:w="725"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社会公益组织</w:t>
            </w:r>
          </w:p>
        </w:tc>
        <w:tc>
          <w:tcPr>
            <w:tcW w:w="862"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法律服务机构</w:t>
            </w:r>
          </w:p>
        </w:tc>
        <w:tc>
          <w:tcPr>
            <w:tcW w:w="637"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w:t>
            </w:r>
          </w:p>
        </w:tc>
        <w:tc>
          <w:tcPr>
            <w:tcW w:w="614" w:type="dxa"/>
            <w:vMerge w:val="continue"/>
            <w:tcBorders>
              <w:tl2br w:val="nil"/>
              <w:tr2bl w:val="nil"/>
            </w:tcBorders>
            <w:shd w:val="clear" w:color="auto" w:fill="auto"/>
            <w:vAlign w:val="center"/>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一、本年新收政府信息公开申请数量</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7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72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86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37"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二、上年结转政府信息公开申请数量</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7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72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86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37"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restart"/>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三、本年度办理结果</w:t>
            </w: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（一）予以公开</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（二）部分公开（区分处理的，只计这一情形，不计其他情形）</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（三）</w:t>
            </w:r>
          </w:p>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不予公开</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1.属于国家秘密</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2.其他法律行政法规禁止公开</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3.危及“三安全一稳定”</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4.保护第三方合法权益</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5.属于三类内部事务信息</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6.属于四类过程性信息</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7.属于行政执法案卷</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8.属于行政查询事项</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w:t>
            </w:r>
          </w:p>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无法提供</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1.本机关不掌握相关政府信息</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2.没有现成信息需要另行制作</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3.补正后申请内容仍不明确</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restart"/>
            <w:tcBorders>
              <w:tl2br w:val="nil"/>
              <w:tr2bl w:val="nil"/>
            </w:tcBorders>
            <w:shd w:val="clear" w:color="auto" w:fill="auto"/>
            <w:vAlign w:val="center"/>
          </w:tcPr>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（五）</w:t>
            </w:r>
          </w:p>
          <w:p>
            <w:pPr>
              <w:pStyle w:val="4"/>
              <w:widowControl/>
              <w:spacing w:beforeAutospacing="0" w:afterAutospacing="0"/>
              <w:jc w:val="both"/>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不予处理</w:t>
            </w: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1.信访举报投诉类申请</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default"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2.重复申请</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3.要求提供公开出版物</w:t>
            </w:r>
          </w:p>
        </w:tc>
        <w:tc>
          <w:tcPr>
            <w:tcW w:w="555"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4.无正当理由大量反复申请</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89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2249" w:type="dxa"/>
            <w:tcBorders>
              <w:tl2br w:val="nil"/>
              <w:tr2bl w:val="nil"/>
            </w:tcBorders>
            <w:shd w:val="clear" w:color="auto" w:fill="auto"/>
            <w:vAlign w:val="center"/>
          </w:tcPr>
          <w:p>
            <w:pPr>
              <w:pStyle w:val="4"/>
              <w:widowControl/>
              <w:spacing w:beforeAutospacing="0" w:afterAutospacing="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5.要求行政机关确认或重新出具已获取信息</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（六）其他处理</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472" w:type="dxa"/>
            <w:vMerge w:val="continue"/>
            <w:tcBorders>
              <w:tl2br w:val="nil"/>
              <w:tr2bl w:val="nil"/>
            </w:tcBorders>
            <w:shd w:val="clear" w:color="auto" w:fill="auto"/>
            <w:vAlign w:val="center"/>
          </w:tcPr>
          <w:p>
            <w:pPr>
              <w:jc w:val="left"/>
              <w:rPr>
                <w:rFonts w:ascii="方正仿宋_GBK" w:hAnsi="方正仿宋_GBK" w:eastAsia="方正仿宋_GBK" w:cs="方正仿宋_GBK"/>
                <w:b/>
                <w:bCs/>
                <w:szCs w:val="21"/>
              </w:rPr>
            </w:pPr>
          </w:p>
        </w:tc>
        <w:tc>
          <w:tcPr>
            <w:tcW w:w="3141" w:type="dxa"/>
            <w:gridSpan w:val="2"/>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（七）总计</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3613" w:type="dxa"/>
            <w:gridSpan w:val="3"/>
            <w:tcBorders>
              <w:tl2br w:val="nil"/>
              <w:tr2bl w:val="nil"/>
            </w:tcBorders>
            <w:shd w:val="clear" w:color="auto" w:fill="auto"/>
            <w:vAlign w:val="center"/>
          </w:tcPr>
          <w:p>
            <w:pPr>
              <w:pStyle w:val="4"/>
              <w:widowControl/>
              <w:spacing w:beforeAutospacing="0" w:afterAutospacing="0"/>
              <w:ind w:firstLine="420"/>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四、结转下年度继续办理</w:t>
            </w:r>
          </w:p>
        </w:tc>
        <w:tc>
          <w:tcPr>
            <w:tcW w:w="55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0</w:t>
            </w: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7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725"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862"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37" w:type="dxa"/>
            <w:tcBorders>
              <w:tl2br w:val="nil"/>
              <w:tr2bl w:val="nil"/>
            </w:tcBorders>
            <w:shd w:val="clear" w:color="auto" w:fill="auto"/>
            <w:vAlign w:val="center"/>
          </w:tcPr>
          <w:p>
            <w:pPr>
              <w:widowControl/>
              <w:jc w:val="center"/>
              <w:rPr>
                <w:rFonts w:ascii="方正仿宋_GBK" w:hAnsi="方正仿宋_GBK" w:eastAsia="方正仿宋_GBK" w:cs="方正仿宋_GBK"/>
                <w:szCs w:val="21"/>
              </w:rPr>
            </w:pPr>
          </w:p>
        </w:tc>
        <w:tc>
          <w:tcPr>
            <w:tcW w:w="614"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szCs w:val="21"/>
                <w:lang w:val="en-US" w:eastAsia="zh-CN"/>
              </w:rPr>
            </w:pPr>
            <w:r>
              <w:rPr>
                <w:rFonts w:hint="eastAsia" w:ascii="方正仿宋_GBK" w:hAnsi="方正仿宋_GBK" w:eastAsia="方正仿宋_GBK" w:cs="方正仿宋_GBK"/>
                <w:szCs w:val="21"/>
                <w:lang w:val="en-US" w:eastAsia="zh-CN"/>
              </w:rPr>
              <w:t>0</w:t>
            </w:r>
          </w:p>
        </w:tc>
      </w:tr>
    </w:tbl>
    <w:p>
      <w:pPr>
        <w:pStyle w:val="4"/>
        <w:widowControl/>
        <w:spacing w:beforeAutospacing="0" w:afterAutospacing="0"/>
        <w:ind w:firstLine="420"/>
        <w:rPr>
          <w:rFonts w:ascii="黑体" w:hAnsi="黑体" w:eastAsia="黑体" w:cs="黑体"/>
          <w:sz w:val="32"/>
          <w:szCs w:val="32"/>
        </w:rPr>
      </w:pP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四、政府信息公开行政复议、行政诉讼情况</w:t>
      </w:r>
    </w:p>
    <w:tbl>
      <w:tblPr>
        <w:tblStyle w:val="5"/>
        <w:tblW w:w="9039"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02"/>
        <w:gridCol w:w="602"/>
        <w:gridCol w:w="602"/>
        <w:gridCol w:w="602"/>
        <w:gridCol w:w="602"/>
        <w:gridCol w:w="602"/>
        <w:gridCol w:w="603"/>
        <w:gridCol w:w="603"/>
        <w:gridCol w:w="603"/>
        <w:gridCol w:w="603"/>
        <w:gridCol w:w="603"/>
        <w:gridCol w:w="603"/>
        <w:gridCol w:w="603"/>
        <w:gridCol w:w="603"/>
        <w:gridCol w:w="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blCellSpacing w:w="0" w:type="dxa"/>
          <w:jc w:val="center"/>
        </w:trPr>
        <w:tc>
          <w:tcPr>
            <w:tcW w:w="3010"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行政复议</w:t>
            </w:r>
          </w:p>
        </w:tc>
        <w:tc>
          <w:tcPr>
            <w:tcW w:w="6029" w:type="dxa"/>
            <w:gridSpan w:val="10"/>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tblCellSpacing w:w="0" w:type="dxa"/>
          <w:jc w:val="center"/>
        </w:trPr>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2" w:type="dxa"/>
            <w:vMerge w:val="restart"/>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3014"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未经复议直接起诉</w:t>
            </w:r>
          </w:p>
        </w:tc>
        <w:tc>
          <w:tcPr>
            <w:tcW w:w="3015" w:type="dxa"/>
            <w:gridSpan w:val="5"/>
            <w:tcBorders>
              <w:tl2br w:val="nil"/>
              <w:tr2bl w:val="nil"/>
            </w:tcBorders>
            <w:shd w:val="clear" w:color="auto" w:fill="auto"/>
            <w:vAlign w:val="center"/>
          </w:tcPr>
          <w:p>
            <w:pPr>
              <w:pStyle w:val="4"/>
              <w:widowControl/>
              <w:spacing w:beforeAutospacing="0" w:afterAutospacing="0"/>
              <w:ind w:firstLine="42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53" w:hRule="atLeast"/>
          <w:tblCellSpacing w:w="0" w:type="dxa"/>
          <w:jc w:val="center"/>
        </w:trPr>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vMerge w:val="continue"/>
            <w:tcBorders>
              <w:tl2br w:val="nil"/>
              <w:tr2bl w:val="nil"/>
            </w:tcBorders>
            <w:shd w:val="clear" w:color="auto" w:fill="auto"/>
            <w:vAlign w:val="center"/>
          </w:tcPr>
          <w:p>
            <w:pPr>
              <w:jc w:val="center"/>
              <w:rPr>
                <w:rFonts w:ascii="方正仿宋_GBK" w:hAnsi="方正仿宋_GBK" w:eastAsia="方正仿宋_GBK" w:cs="方正仿宋_GBK"/>
                <w:b/>
                <w:bCs/>
                <w:szCs w:val="21"/>
              </w:rPr>
            </w:pPr>
          </w:p>
        </w:tc>
        <w:tc>
          <w:tcPr>
            <w:tcW w:w="602"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结果维持</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结果纠正</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其他结果</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尚未审结</w:t>
            </w:r>
          </w:p>
        </w:tc>
        <w:tc>
          <w:tcPr>
            <w:tcW w:w="603" w:type="dxa"/>
            <w:tcBorders>
              <w:tl2br w:val="nil"/>
              <w:tr2bl w:val="nil"/>
            </w:tcBorders>
            <w:shd w:val="clear" w:color="auto" w:fill="auto"/>
            <w:vAlign w:val="center"/>
          </w:tcPr>
          <w:p>
            <w:pPr>
              <w:pStyle w:val="4"/>
              <w:widowControl/>
              <w:spacing w:beforeAutospacing="0" w:afterAutospacing="0"/>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9" w:hRule="atLeast"/>
          <w:tblCellSpacing w:w="0" w:type="dxa"/>
          <w:jc w:val="center"/>
        </w:trPr>
        <w:tc>
          <w:tcPr>
            <w:tcW w:w="60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b w:val="0"/>
                <w:bCs w:val="0"/>
                <w:szCs w:val="21"/>
                <w:lang w:eastAsia="zh-CN"/>
              </w:rPr>
            </w:pPr>
            <w:r>
              <w:rPr>
                <w:rFonts w:hint="eastAsia" w:ascii="方正仿宋_GBK" w:hAnsi="方正仿宋_GBK" w:eastAsia="方正仿宋_GBK" w:cs="方正仿宋_GBK"/>
                <w:b w:val="0"/>
                <w:bCs w:val="0"/>
                <w:szCs w:val="21"/>
                <w:lang w:val="en-US" w:eastAsia="zh-CN"/>
              </w:rPr>
              <w:t>0</w:t>
            </w:r>
          </w:p>
        </w:tc>
        <w:tc>
          <w:tcPr>
            <w:tcW w:w="602"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b w:val="0"/>
                <w:bCs w:val="0"/>
                <w:szCs w:val="21"/>
                <w:lang w:eastAsia="zh-CN"/>
              </w:rPr>
            </w:pPr>
            <w:r>
              <w:rPr>
                <w:rFonts w:hint="eastAsia" w:ascii="方正仿宋_GBK" w:hAnsi="方正仿宋_GBK" w:eastAsia="方正仿宋_GBK" w:cs="方正仿宋_GBK"/>
                <w:b w:val="0"/>
                <w:bCs w:val="0"/>
                <w:szCs w:val="21"/>
                <w:lang w:val="en-US" w:eastAsia="zh-CN"/>
              </w:rPr>
              <w:t>0</w:t>
            </w:r>
          </w:p>
        </w:tc>
        <w:tc>
          <w:tcPr>
            <w:tcW w:w="60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b w:val="0"/>
                <w:bCs w:val="0"/>
                <w:szCs w:val="21"/>
                <w:lang w:eastAsia="zh-CN"/>
              </w:rPr>
            </w:pPr>
            <w:r>
              <w:rPr>
                <w:rFonts w:hint="eastAsia" w:ascii="方正仿宋_GBK" w:hAnsi="方正仿宋_GBK" w:eastAsia="方正仿宋_GBK" w:cs="方正仿宋_GBK"/>
                <w:b w:val="0"/>
                <w:bCs w:val="0"/>
                <w:szCs w:val="21"/>
                <w:lang w:val="en-US" w:eastAsia="zh-CN"/>
              </w:rPr>
              <w:t>0</w:t>
            </w:r>
          </w:p>
        </w:tc>
        <w:tc>
          <w:tcPr>
            <w:tcW w:w="602" w:type="dxa"/>
            <w:tcBorders>
              <w:tl2br w:val="nil"/>
              <w:tr2bl w:val="nil"/>
            </w:tcBorders>
            <w:shd w:val="clear" w:color="auto" w:fill="auto"/>
            <w:vAlign w:val="center"/>
          </w:tcPr>
          <w:p>
            <w:pPr>
              <w:widowControl/>
              <w:jc w:val="center"/>
              <w:rPr>
                <w:rFonts w:hint="eastAsia" w:ascii="方正仿宋_GBK" w:hAnsi="方正仿宋_GBK" w:eastAsia="方正仿宋_GBK" w:cs="方正仿宋_GBK"/>
                <w:b w:val="0"/>
                <w:bCs w:val="0"/>
                <w:szCs w:val="21"/>
                <w:lang w:eastAsia="zh-CN"/>
              </w:rPr>
            </w:pPr>
            <w:r>
              <w:rPr>
                <w:rFonts w:hint="eastAsia" w:ascii="方正仿宋_GBK" w:hAnsi="方正仿宋_GBK" w:eastAsia="方正仿宋_GBK" w:cs="方正仿宋_GBK"/>
                <w:b w:val="0"/>
                <w:bCs w:val="0"/>
                <w:szCs w:val="21"/>
                <w:lang w:val="en-US" w:eastAsia="zh-CN"/>
              </w:rPr>
              <w:t>0</w:t>
            </w:r>
          </w:p>
        </w:tc>
        <w:tc>
          <w:tcPr>
            <w:tcW w:w="602"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c>
          <w:tcPr>
            <w:tcW w:w="603" w:type="dxa"/>
            <w:tcBorders>
              <w:tl2br w:val="nil"/>
              <w:tr2bl w:val="nil"/>
            </w:tcBorders>
            <w:shd w:val="clear" w:color="auto" w:fill="auto"/>
            <w:vAlign w:val="center"/>
          </w:tcPr>
          <w:p>
            <w:pPr>
              <w:widowControl/>
              <w:jc w:val="center"/>
              <w:rPr>
                <w:rFonts w:ascii="方正仿宋_GBK" w:hAnsi="方正仿宋_GBK" w:eastAsia="方正仿宋_GBK" w:cs="方正仿宋_GBK"/>
                <w:b w:val="0"/>
                <w:bCs w:val="0"/>
                <w:szCs w:val="21"/>
              </w:rPr>
            </w:pPr>
            <w:r>
              <w:rPr>
                <w:rFonts w:hint="eastAsia" w:ascii="方正仿宋_GBK" w:hAnsi="方正仿宋_GBK" w:eastAsia="方正仿宋_GBK" w:cs="方正仿宋_GBK"/>
                <w:b w:val="0"/>
                <w:bCs w:val="0"/>
                <w:szCs w:val="21"/>
              </w:rPr>
              <w:t>0</w:t>
            </w:r>
          </w:p>
        </w:tc>
      </w:tr>
    </w:tbl>
    <w:p>
      <w:pPr>
        <w:widowControl/>
        <w:jc w:val="left"/>
        <w:rPr>
          <w:rFonts w:ascii="仿宋" w:hAnsi="仿宋" w:eastAsia="仿宋" w:cs="仿宋"/>
          <w:sz w:val="24"/>
        </w:rPr>
      </w:pP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五、存在的主要问题及改进情况</w:t>
      </w:r>
    </w:p>
    <w:p>
      <w:pPr>
        <w:pStyle w:val="4"/>
        <w:widowControl/>
        <w:spacing w:beforeAutospacing="0" w:afterAutospacing="0"/>
        <w:ind w:firstLine="420"/>
        <w:rPr>
          <w:rFonts w:ascii="方正仿宋_GBK" w:hAnsi="Times New Roman" w:eastAsia="方正仿宋_GBK"/>
          <w:sz w:val="32"/>
          <w:szCs w:val="32"/>
        </w:rPr>
      </w:pPr>
      <w:r>
        <w:rPr>
          <w:rFonts w:hint="eastAsia" w:ascii="方正仿宋_GBK" w:hAnsi="Times New Roman" w:eastAsia="方正仿宋_GBK"/>
          <w:sz w:val="32"/>
          <w:szCs w:val="32"/>
        </w:rPr>
        <w:t>一是政府信息主动公开</w:t>
      </w:r>
      <w:r>
        <w:rPr>
          <w:rFonts w:hint="eastAsia" w:ascii="方正仿宋_GBK" w:hAnsi="Calibri" w:eastAsia="方正仿宋_GBK"/>
          <w:sz w:val="32"/>
          <w:szCs w:val="32"/>
        </w:rPr>
        <w:t>中</w:t>
      </w:r>
      <w:r>
        <w:rPr>
          <w:rFonts w:hint="eastAsia" w:ascii="方正仿宋_GBK" w:eastAsia="方正仿宋_GBK"/>
          <w:sz w:val="32"/>
          <w:szCs w:val="32"/>
        </w:rPr>
        <w:t>，</w:t>
      </w:r>
      <w:r>
        <w:rPr>
          <w:rFonts w:hint="eastAsia" w:ascii="方正仿宋_GBK" w:hAnsi="Calibri" w:eastAsia="方正仿宋_GBK"/>
          <w:sz w:val="32"/>
          <w:szCs w:val="32"/>
        </w:rPr>
        <w:t>对需公开的内容、范围、形式等具体事项还需进一步界定和规范</w:t>
      </w:r>
      <w:r>
        <w:rPr>
          <w:rFonts w:hint="eastAsia" w:ascii="方正仿宋_GBK" w:hAnsi="Times New Roman" w:eastAsia="方正仿宋_GBK"/>
          <w:sz w:val="32"/>
          <w:szCs w:val="32"/>
        </w:rPr>
        <w:t>；</w:t>
      </w:r>
      <w:r>
        <w:rPr>
          <w:rFonts w:hint="eastAsia" w:ascii="方正仿宋_GBK" w:hAnsi="Calibri" w:eastAsia="方正仿宋_GBK"/>
          <w:sz w:val="32"/>
          <w:szCs w:val="32"/>
        </w:rPr>
        <w:t>二是信息公开中的深度、广度、时效性等方面与群众的关心、关注和期待还存在一定的差距，有待进一步加强</w:t>
      </w:r>
      <w:r>
        <w:rPr>
          <w:rFonts w:hint="eastAsia" w:ascii="方正仿宋_GBK" w:hAnsi="Times New Roman" w:eastAsia="方正仿宋_GBK"/>
          <w:sz w:val="32"/>
          <w:szCs w:val="32"/>
        </w:rPr>
        <w:t>；</w:t>
      </w:r>
      <w:r>
        <w:rPr>
          <w:rFonts w:hint="eastAsia" w:ascii="方正仿宋_GBK" w:hAnsi="Calibri" w:eastAsia="方正仿宋_GBK"/>
          <w:sz w:val="32"/>
          <w:szCs w:val="32"/>
        </w:rPr>
        <w:t>三是单位内部的信息公开工作还有待进一步加强和规范；四是</w:t>
      </w:r>
      <w:r>
        <w:rPr>
          <w:rFonts w:hint="eastAsia" w:ascii="方正仿宋_GBK" w:hAnsi="Times New Roman" w:eastAsia="方正仿宋_GBK"/>
          <w:sz w:val="32"/>
          <w:szCs w:val="32"/>
        </w:rPr>
        <w:t>需进一步加强政府信息公开工作培训。</w:t>
      </w:r>
    </w:p>
    <w:p>
      <w:pPr>
        <w:pStyle w:val="4"/>
        <w:widowControl/>
        <w:spacing w:beforeAutospacing="0" w:afterAutospacing="0"/>
        <w:ind w:firstLine="42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六、其他需要报告的事项</w:t>
      </w:r>
    </w:p>
    <w:p>
      <w:pPr>
        <w:pStyle w:val="4"/>
        <w:widowControl/>
        <w:spacing w:beforeAutospacing="0" w:afterAutospacing="0"/>
        <w:ind w:firstLine="42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无</w:t>
      </w:r>
    </w:p>
    <w:p>
      <w:pPr>
        <w:pStyle w:val="4"/>
        <w:widowControl/>
        <w:spacing w:beforeAutospacing="0" w:afterAutospacing="0"/>
        <w:ind w:firstLine="420"/>
        <w:rPr>
          <w:rFonts w:hint="eastAsia" w:ascii="方正仿宋_GBK" w:hAnsi="方正仿宋_GBK" w:eastAsia="方正仿宋_GBK" w:cs="方正仿宋_GBK"/>
          <w:sz w:val="32"/>
          <w:szCs w:val="32"/>
        </w:rPr>
      </w:pPr>
    </w:p>
    <w:p>
      <w:pPr>
        <w:pStyle w:val="4"/>
        <w:widowControl/>
        <w:spacing w:beforeAutospacing="0" w:afterAutospacing="0"/>
        <w:ind w:firstLine="420"/>
        <w:rPr>
          <w:rFonts w:hint="eastAsia" w:ascii="方正仿宋_GBK" w:hAnsi="方正仿宋_GBK" w:eastAsia="方正仿宋_GBK" w:cs="方正仿宋_GBK"/>
          <w:sz w:val="32"/>
          <w:szCs w:val="32"/>
        </w:rPr>
      </w:pPr>
    </w:p>
    <w:p>
      <w:pPr>
        <w:pStyle w:val="4"/>
        <w:widowControl/>
        <w:spacing w:beforeAutospacing="0" w:afterAutospacing="0"/>
        <w:ind w:firstLine="5440" w:firstLineChars="17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峨山县公安局</w:t>
      </w:r>
    </w:p>
    <w:p>
      <w:pPr>
        <w:pStyle w:val="4"/>
        <w:widowControl/>
        <w:spacing w:beforeAutospacing="0" w:afterAutospacing="0"/>
        <w:ind w:firstLine="5120" w:firstLineChars="16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2021年1月26日</w:t>
      </w:r>
    </w:p>
    <w:p>
      <w:pPr>
        <w:rPr>
          <w:rFonts w:ascii="仿宋" w:hAnsi="仿宋" w:eastAsia="仿宋" w:cs="仿宋"/>
          <w:sz w:val="24"/>
        </w:rPr>
      </w:pPr>
      <w:r>
        <w:rPr>
          <w:rFonts w:hint="eastAsia" w:ascii="仿宋" w:hAnsi="仿宋" w:eastAsia="仿宋" w:cs="仿宋"/>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8D78C9"/>
    <w:rsid w:val="00090ADB"/>
    <w:rsid w:val="000A0195"/>
    <w:rsid w:val="00150453"/>
    <w:rsid w:val="00175269"/>
    <w:rsid w:val="0018171D"/>
    <w:rsid w:val="001B7607"/>
    <w:rsid w:val="00294CD2"/>
    <w:rsid w:val="002C3468"/>
    <w:rsid w:val="003562CA"/>
    <w:rsid w:val="00361372"/>
    <w:rsid w:val="003D2256"/>
    <w:rsid w:val="003D3809"/>
    <w:rsid w:val="003E6159"/>
    <w:rsid w:val="0041500C"/>
    <w:rsid w:val="004C52A4"/>
    <w:rsid w:val="004F4584"/>
    <w:rsid w:val="00512460"/>
    <w:rsid w:val="00512504"/>
    <w:rsid w:val="005B769A"/>
    <w:rsid w:val="005C196F"/>
    <w:rsid w:val="005E4FF3"/>
    <w:rsid w:val="006C0845"/>
    <w:rsid w:val="006C7DF3"/>
    <w:rsid w:val="00A23BF3"/>
    <w:rsid w:val="00AE6D2E"/>
    <w:rsid w:val="00B3479C"/>
    <w:rsid w:val="00C56236"/>
    <w:rsid w:val="00D017E2"/>
    <w:rsid w:val="00D116F1"/>
    <w:rsid w:val="00D25830"/>
    <w:rsid w:val="00D61F39"/>
    <w:rsid w:val="00DC5AE2"/>
    <w:rsid w:val="00E20D15"/>
    <w:rsid w:val="00E55746"/>
    <w:rsid w:val="00E909BA"/>
    <w:rsid w:val="00E92252"/>
    <w:rsid w:val="00F32011"/>
    <w:rsid w:val="00FC13DF"/>
    <w:rsid w:val="00FC22F8"/>
    <w:rsid w:val="00FD6BEF"/>
    <w:rsid w:val="00FE65F4"/>
    <w:rsid w:val="183F1F42"/>
    <w:rsid w:val="257F7CDD"/>
    <w:rsid w:val="349C7BF5"/>
    <w:rsid w:val="388D78C9"/>
    <w:rsid w:val="50401572"/>
    <w:rsid w:val="60AC584C"/>
    <w:rsid w:val="73431F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563C1" w:themeColor="hyperlink"/>
      <w:u w:val="single"/>
      <w14:textFill>
        <w14:solidFill>
          <w14:schemeClr w14:val="hlink"/>
        </w14:solidFill>
      </w14:textFill>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366</Words>
  <Characters>2089</Characters>
  <Lines>17</Lines>
  <Paragraphs>4</Paragraphs>
  <TotalTime>6</TotalTime>
  <ScaleCrop>false</ScaleCrop>
  <LinksUpToDate>false</LinksUpToDate>
  <CharactersWithSpaces>2451</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2021-11-18T09:10:00Z</dcterms:created>
  <dc:creator>午夜阳光1390285921</dc:creator>
  <cp:lastModifiedBy>Administrator</cp:lastModifiedBy>
  <cp:lastPrinted>2020-02-13T09:54:00Z</cp:lastPrinted>
  <dcterms:modified xsi:type="dcterms:W3CDTF">2021-12-29T07:13:26Z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E5BCF3CCECC74A9799C15CB8616C5721</vt:lpwstr>
  </property>
</Properties>
</file>