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和死亡人数与去年同期持平。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道路交通、危化、非煤矿山、工贸、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spacing w:line="57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3C3EB7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42C2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593A4A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20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2021-12-20T08:38:57Z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