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1</w:t>
      </w:r>
    </w:p>
    <w:p>
      <w:pPr>
        <w:pStyle w:val="6"/>
        <w:ind w:firstLine="48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峨山县公安局党委</w:t>
      </w:r>
    </w:p>
    <w:p>
      <w:pPr>
        <w:pStyle w:val="6"/>
        <w:ind w:firstLine="48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关于专项巡察整改进展情况的通报</w:t>
      </w:r>
      <w:bookmarkStart w:id="0" w:name="_GoBack"/>
      <w:bookmarkEnd w:id="0"/>
    </w:p>
    <w:p>
      <w:pPr>
        <w:pStyle w:val="6"/>
        <w:ind w:firstLine="48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48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根据县委统一部署，2025年3月12日至4月22日，县委专项巡察组对峨山县公安局党委开展了巡察。2025年5月30日，县委巡察组向峨山县公安局党委反馈了巡察意见。按照巡察工作有关要求，现将巡察整改进展情况予以公布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480"/>
        <w:jc w:val="left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一、党委履行巡察整改主体责任情况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48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（一）坚持统筹推动，强化组织部署。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峨山县公安局认真贯彻落实县委专项巡察组的巡察反馈意见，诚恳接受、照单全收。在收到巡察意见反馈后，及时成立巡察整改工作领导小组、印发巡察反馈意见等，同时研究制定整改方案、整改清单，确保整改工作有序推进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48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方正楷体_GBK" w:hAnsi="方正楷体_GBK" w:eastAsia="方正楷体_GBK" w:cs="方正楷体_GBK"/>
          <w:sz w:val="32"/>
          <w:szCs w:val="32"/>
        </w:rPr>
        <w:t>（二）扛起主体责任，全程跟进督导。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盯牢阶段性目标、整改措施以及整改时限，实行清单化、台账化管理，定期汇报整改情况、整改进程以及整改成果，确保做到完成一件、销号一件，扎实做好巡察整改“后半篇”文章。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48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方正楷体_GBK" w:hAnsi="方正楷体_GBK" w:eastAsia="方正楷体_GBK" w:cs="方正楷体_GBK"/>
          <w:sz w:val="32"/>
          <w:szCs w:val="32"/>
        </w:rPr>
        <w:t>（三）聚焦目标导向，深化问题整改。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始终坚持问题导向，对标对表县委要求，并结合和实际工作情况逐项研究解决对策。截止2025年9月30日，峨山县公安局已完成专项巡察涉及公安的二个方面3个具体问题整改。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480"/>
        <w:jc w:val="left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二、巡察整改情况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48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县委专项巡察组巡察反馈问题3个，目前已完成整改3个。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480"/>
        <w:jc w:val="left"/>
        <w:textAlignment w:val="auto"/>
        <w:rPr>
          <w:rFonts w:hint="default" w:ascii="方正楷体_GBK" w:hAnsi="方正楷体_GBK" w:eastAsia="方正楷体_GBK" w:cs="方正楷体_GBK"/>
          <w:sz w:val="32"/>
          <w:szCs w:val="32"/>
        </w:rPr>
      </w:pPr>
      <w:r>
        <w:rPr>
          <w:rFonts w:hint="default" w:ascii="方正楷体_GBK" w:hAnsi="方正楷体_GBK" w:eastAsia="方正楷体_GBK" w:cs="方正楷体_GBK"/>
          <w:sz w:val="32"/>
          <w:szCs w:val="32"/>
        </w:rPr>
        <w:t>责任压得不实、落实主管监管责任不到位方面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1.县公安局督导落实死亡人员户口注销不及时。目前全县仍有776名死亡人口未进行户口注销。【已完成】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48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整改进展情况：2025年4月27日，峨山县公安局已对辖区773名死亡火化户口全部注销。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480"/>
        <w:jc w:val="left"/>
        <w:textAlignment w:val="auto"/>
        <w:rPr>
          <w:rFonts w:hint="default" w:ascii="方正楷体_GBK" w:hAnsi="方正楷体_GBK" w:eastAsia="方正楷体_GBK" w:cs="方正楷体_GBK"/>
          <w:sz w:val="32"/>
          <w:szCs w:val="32"/>
        </w:rPr>
      </w:pPr>
      <w:r>
        <w:rPr>
          <w:rFonts w:hint="default" w:ascii="方正楷体_GBK" w:hAnsi="方正楷体_GBK" w:eastAsia="方正楷体_GBK" w:cs="方正楷体_GBK"/>
          <w:sz w:val="32"/>
          <w:szCs w:val="32"/>
        </w:rPr>
        <w:t>（二）部门之间协同联动开展工作力度不够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48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1.县民政局、县公安局、县卫生健康局等部门协同联动不够。县殡仪馆仍有2具尸体长期冰存，3具遗体火化后一直未结算，造成长期占用公共资源。【已完成】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48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整改进展情况：经与民政、卫建等职能部门的协调联动，同时积极与尸体家属对接，经工作开展和按照相关程序，现已对2具长期冰存尸体进行了火化。当前，我县无长期冰存尸体。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48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2.部门之间信息沟通、资源共享不及时。相关部门死亡人口统计数据差异较大，信息核对比对不及时。近三年来，县卫生健康局统计死亡人口3425人、县民政局3373人、县公安局注销户口2227人。【已完成】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48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整改进展情况：进一步加强与卫建、民政等职能部门的协作配合、信息互通和资源共享。目前，峨山县公安局已完成对民政局、卫健局近三年死亡数据的核查比对工作，暂未发现我辖区群众死亡后户口未注销的情况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480"/>
        <w:jc w:val="left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三、下一步工作安排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48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方正楷体_GBK" w:hAnsi="方正楷体_GBK" w:eastAsia="方正楷体_GBK" w:cs="方正楷体_GBK"/>
          <w:sz w:val="32"/>
          <w:szCs w:val="32"/>
        </w:rPr>
        <w:t>（一）全面梳理排查，精确死亡注销。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主动与县民政局对接死亡火化人口情况，以派出所为责任单位，全面梳理、及时核销死亡人员户口注销工作，进一步动态持续落实户口注销。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48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方正楷体_GBK" w:hAnsi="方正楷体_GBK" w:eastAsia="方正楷体_GBK" w:cs="方正楷体_GBK"/>
          <w:sz w:val="32"/>
          <w:szCs w:val="32"/>
        </w:rPr>
        <w:t>（二）强化部门协作，发挥工作合力。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建立“公安十民政十自然资源”联席会议制度，推动线索移交、案件联办，优化执法闭环管理，全力发挥殡葬改革工作质效。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48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方正楷体_GBK" w:hAnsi="方正楷体_GBK" w:eastAsia="方正楷体_GBK" w:cs="方正楷体_GBK"/>
          <w:sz w:val="32"/>
          <w:szCs w:val="32"/>
        </w:rPr>
        <w:t>（三）加强长效机制，防止问题反弹。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通过建立健全工作长效机制，逐步推动殡葬领域制度化、规范化，确保整治成果不被反弹。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48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欢迎广大干部群众对专项巡察整改落实情况进行监督。如有意见建议，请及时向我们反映。联系电话：0877-4016625；地址：峨山县公安局治安大队；电子邮箱：esgajbgs@163.com。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2326" w:firstLineChars="727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3286" w:firstLineChars="1027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中共峨山县公安局委员会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2025年12月1日</w:t>
      </w:r>
    </w:p>
    <w:p>
      <w:pPr>
        <w:pStyle w:val="6"/>
        <w:jc w:val="right"/>
        <w:rPr>
          <w:rFonts w:hint="default" w:ascii="Times New Roman" w:hAnsi="Times New Roman" w:eastAsia="方正仿宋_GBK" w:cs="Times New Roman"/>
          <w:sz w:val="32"/>
          <w:szCs w:val="32"/>
        </w:rPr>
      </w:pPr>
    </w:p>
    <w:sectPr>
      <w:footerReference r:id="rId3" w:type="default"/>
      <w:pgSz w:w="11906" w:h="16838"/>
      <w:pgMar w:top="1928" w:right="1474" w:bottom="181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CAGKDB+CESI_FS_GB18030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3000502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>—</w:t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>—</w:t>
                    </w:r>
                    <w:r>
                      <w:rPr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CEA17D"/>
    <w:multiLevelType w:val="singleLevel"/>
    <w:tmpl w:val="93CEA17D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90F"/>
    <w:rsid w:val="0061601F"/>
    <w:rsid w:val="0066190F"/>
    <w:rsid w:val="006867A9"/>
    <w:rsid w:val="DFBED478"/>
    <w:rsid w:val="DFFEE958"/>
    <w:rsid w:val="EAF58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style"/>
    <w:basedOn w:val="1"/>
    <w:link w:val="7"/>
    <w:qFormat/>
    <w:uiPriority w:val="0"/>
    <w:pPr>
      <w:spacing w:line="360" w:lineRule="auto"/>
    </w:pPr>
    <w:rPr>
      <w:rFonts w:eastAsia="仿宋"/>
      <w:sz w:val="24"/>
    </w:rPr>
  </w:style>
  <w:style w:type="character" w:customStyle="1" w:styleId="7">
    <w:name w:val="style 字符"/>
    <w:basedOn w:val="5"/>
    <w:link w:val="6"/>
    <w:qFormat/>
    <w:uiPriority w:val="0"/>
    <w:rPr>
      <w:rFonts w:eastAsia="仿宋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Office_11.8.2.12024_F1E327BC-269C-435d-A152-05C5408002CA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2020-08-11T20:22:00Z</dcterms:created>
  <dc:creator>张 述江</dc:creator>
  <cp:lastModifiedBy>esxjwrdl</cp:lastModifiedBy>
  <dcterms:modified xsi:type="dcterms:W3CDTF">2026-02-09T15:58:08Z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2052-11.8.2.12024</vt:lpwstr>
  </property>
  <property fmtid="{D5CDD505-2E9C-101B-9397-08002B2CF9AE}" pid="3" name="ICV">
    <vt:lpwstr>06EC42197DD905783A938969F42B33A3</vt:lpwstr>
  </property>
</Properties>
</file>