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岔河乡人民政府2019年政府信息公开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按照《中华人民共和国政府信息公开条例》（国务院令第492号，以下简称《条例》）规定和省、市、县关于全面推进政务公开工作的部署安排，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岔河乡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人民政府结合本乡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实际，全面、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做细落实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政府信息公开工作，不断完善制度建设，“互联网+政务服务”工作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不断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取得突破，提升主动公开信息质量，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主动公开领导信息，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加大重点领域信息公开力度，改善依申请公开服务工作，加强政府信息公开平台建设，增强群众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督政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体验与获得感，在健全政府信息公开工作队伍、完善政府信息公开配套制度、加强《条例》的学习、宣传、培训工作，加快政府信息公开载体建设等方面均取得一定的成绩，为服务和推进全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经济社会发展，促进法治政府、创新政府、廉洁政府和服务型政府建设提供了坚强有力保障。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  <w:lang w:eastAsia="zh-CN"/>
        </w:rPr>
        <w:t>强化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政府信息公开工作队伍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  <w:lang w:eastAsia="zh-CN"/>
        </w:rPr>
        <w:t>建设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政府信息公开工作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岔河乡明确了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乡党委副书记分管，乡综合管理办公室具体负责业务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，负责推进、指导、协调、监督全乡的政府信息公开工作。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全乡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的信息公开由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综合管理办公室具体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负责，各部门的信息公开由信息生成和保存机构负责，做到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各部门有专人负责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以健全的工作队伍，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为有效开展政府信息公开工作奠定了坚实基础。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（二）完善政府信息公开配套制度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  <w:lang w:eastAsia="zh-CN"/>
        </w:rPr>
        <w:t>建设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为准确界定政府信息公开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范围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使政府信息在生产过程中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有序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公开，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加快政府公开信息的更新维护速度，进一步完善和规范了有关规章制度。按照上级部门要求，制定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了新的《公开指南》《公开目录》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，对政务信息公开的内容、时间、程序、范围等作出规定和明确要求，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形成制度保障，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促使我乡政府信息公开工作朝着规范化、制度化的方向发展。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（三）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  <w:lang w:eastAsia="zh-CN"/>
        </w:rPr>
        <w:t>加强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政府信息公开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  <w:lang w:eastAsia="zh-CN"/>
        </w:rPr>
        <w:t>相关文件学习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岔河乡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利用周一晨会制度，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组织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全乡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干部职工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学习《中华人民共和国政府信息公开条例》，不断提升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全乡上下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对政务信息公开工作重要性的认识，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为建设法治型、公开型政府奠定理论基础，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进一步增强做好政务信息公开工作的主动性和自觉性，切实把政务信息公开工作作为接受社会监督、提高服务质量、促进内部和谐的一项重要工作。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（四）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  <w:lang w:eastAsia="zh-CN"/>
        </w:rPr>
        <w:t>畅通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政府信息公开实效</w:t>
      </w: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  <w:lang w:eastAsia="zh-CN"/>
        </w:rPr>
        <w:t>工作渠道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岔河乡坚持政府信息公开与依法行政相结合；坚持政府信息公开与改进工作作风相结合；坚持政府信息公开与转变政府职能相结合；坚持政府信息公开与建章立制相结合；坚持政府信息公开与解决热点、难点问题相结合。公开群众关注的热点、难点和焦点问题，及时妥善解决群众反映强烈的问题、有效化解存在的隐患和矛盾，有力地推动了政府信息公开工作健康发展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，提高政府公信力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目前，201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年岔河乡在政府信息公开门户网站共计更新各类信息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110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条。积极拓宽信息公开渠道，积极探索使用新媒体政务公开，201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年使用岔河乡官方微信公众号“山水家园 大美岔河”公开信息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196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5"/>
        <w:tblW w:w="8456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1"/>
        <w:gridCol w:w="1915"/>
        <w:gridCol w:w="191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本年新制作数量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本年新公开数量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规范性文件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本年增/减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其他对外管理服务事项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本年增/减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采购项目数量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政府集中采购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4.7458万元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tbl>
      <w:tblPr>
        <w:tblStyle w:val="5"/>
        <w:tblW w:w="835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892"/>
        <w:gridCol w:w="2249"/>
        <w:gridCol w:w="555"/>
        <w:gridCol w:w="675"/>
        <w:gridCol w:w="675"/>
        <w:gridCol w:w="725"/>
        <w:gridCol w:w="862"/>
        <w:gridCol w:w="637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74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35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6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商业企业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科研机构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6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（三）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不予公开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1.属于国家秘密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2.其他法律行政法规禁止公开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3.危及“三安全一稳定”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4.保护第三方合法权益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5.属于三类内部事务信息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6.属于四类过程性信息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7.属于行政执法案卷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8.属于行政查询事项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（四）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无法提供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1.本机关不掌握相关政府信息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2.没有现成信息需要另行制作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3.补正后申请内容仍不明确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（五）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不予处理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1.信访举报投诉类申请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2.重复申请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3.要求提供公开出版物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4.无正当理由大量反复申请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（七）总计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5"/>
        <w:tblW w:w="9039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30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行政复议</w:t>
            </w:r>
          </w:p>
        </w:tc>
        <w:tc>
          <w:tcPr>
            <w:tcW w:w="60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301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tblCellSpacing w:w="0" w:type="dxa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（一）工作中存在的主要问题和困难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年，岔河乡的政府信息公开工作存在一些问题和不足主要表现在：一是政府信息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的质量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不高。主要表现在1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年岔河乡更新的数量不足，质量欠缺，对热点事件的把控还不到位；二是政府信息公开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政策法规把握不到位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。如会议记录、领导批示、人事财务、对社会稳定等敏感问题，公开尺度如何把握是个难题；三是人员队伍建设有待加强。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个别单位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因工作任务较多，未能及时收集整理材料，致使政府信息公开工作停滞；四是政府信息公开的内容不能满足人民群众的要求，公开内容需要进一步深化。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（二）具体的解决办法和改进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提高政府领导干部 “阳光意识”。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加强学习，领导干部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要树立“阳光意识”，转变思想观念，认识到信息公开的目的是促进政治民主、经济发展和社会进步，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形成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“以公开为原则，以不公开为例外”的执政理念。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完善信息公开管理机制。建立一整套的信息筛选和发布机制，建立相应的归类查询制度，将群众急需的信息及时地向外发布。加强调研，到基层群众中了解群众最想知道的信息，建立与群众的经常沟通机制。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加强工作培训，提高政府信息公开水平。将政府信息公开纳入政府工作人员培训计划，实行全员培训，全面增强经办人员的政府信息公开意识和责任感，切实提高其业务水平。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 无其他需要报告说明的事项。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70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9339A6B-0094-4E9C-87DA-5AD25D30987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DD2E56-96EF-43AB-A103-20566F2287A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FD4D2E-FF7A-416B-A5EB-971942B0B89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D1FBD26-9942-4404-9640-A48049BB6D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06274A6-AC5E-4ED7-A715-C1C3B3B747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D78C9"/>
    <w:rsid w:val="074F183B"/>
    <w:rsid w:val="23F71343"/>
    <w:rsid w:val="257F7CDD"/>
    <w:rsid w:val="349C7BF5"/>
    <w:rsid w:val="388D78C9"/>
    <w:rsid w:val="4E6758FD"/>
    <w:rsid w:val="50401572"/>
    <w:rsid w:val="60AC584C"/>
    <w:rsid w:val="626A1475"/>
    <w:rsid w:val="63757406"/>
    <w:rsid w:val="70217740"/>
    <w:rsid w:val="7374338A"/>
    <w:rsid w:val="7956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2020-01-06T00:04:00Z</dcterms:created>
  <dc:creator>午夜阳光1390285921</dc:creator>
  <cp:lastModifiedBy>ted</cp:lastModifiedBy>
  <cp:lastPrinted>2020-02-14T00:53:00Z</cp:lastPrinted>
  <dcterms:modified xsi:type="dcterms:W3CDTF">2020-02-14T01:07:23Z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