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Cs w:val="32"/>
        </w:rPr>
        <w:t>附件</w:t>
      </w:r>
    </w:p>
    <w:p>
      <w:pPr>
        <w:spacing w:line="590" w:lineRule="exact"/>
        <w:rPr>
          <w:rFonts w:eastAsia="方正仿宋_GBK"/>
          <w:szCs w:val="32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政府信息公开情况统计表</w:t>
      </w:r>
    </w:p>
    <w:p>
      <w:pPr>
        <w:spacing w:line="590" w:lineRule="exact"/>
        <w:jc w:val="center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（2018年度）</w:t>
      </w:r>
    </w:p>
    <w:p>
      <w:pPr>
        <w:spacing w:line="400" w:lineRule="exact"/>
        <w:jc w:val="center"/>
        <w:rPr>
          <w:rFonts w:hint="eastAsia" w:ascii="方正楷体_GBK" w:eastAsia="方正楷体_GBK"/>
          <w:szCs w:val="32"/>
        </w:rPr>
      </w:pPr>
    </w:p>
    <w:p>
      <w:pPr>
        <w:spacing w:line="590" w:lineRule="exact"/>
        <w:rPr>
          <w:rFonts w:hint="eastAsia" w:eastAsia="方正仿宋_GBK"/>
          <w:sz w:val="28"/>
          <w:szCs w:val="28"/>
        </w:rPr>
      </w:pPr>
      <w:r>
        <w:rPr>
          <w:sz w:val="28"/>
        </w:rPr>
        <w:pict>
          <v:shape id="_x0000_s1037" o:spid="_x0000_s1037" o:spt="201" type="#_x0000_t201" style="position:absolute;left:0pt;margin-left:85.05pt;margin-top:-56.6pt;height:113pt;width:113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37"/>
        </w:pict>
      </w:r>
      <w:r>
        <w:rPr>
          <w:rFonts w:hint="eastAsia" w:eastAsia="方正仿宋_GBK"/>
          <w:sz w:val="28"/>
          <w:szCs w:val="28"/>
        </w:rPr>
        <w:t>填报单位（盖章）：</w:t>
      </w:r>
      <w:r>
        <w:rPr>
          <w:rFonts w:hint="eastAsia" w:eastAsia="方正仿宋_GBK"/>
          <w:sz w:val="28"/>
          <w:szCs w:val="28"/>
          <w:lang w:eastAsia="zh-CN"/>
        </w:rPr>
        <w:t>玉溪大化产业园区管理委员会</w:t>
      </w:r>
    </w:p>
    <w:tbl>
      <w:tblPr>
        <w:tblStyle w:val="11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9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3．同意部分公开答复数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4．不同意公开答复数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单位负责人：</w:t>
      </w:r>
      <w:r>
        <w:rPr>
          <w:rFonts w:hint="eastAsia" w:eastAsia="方正仿宋_GBK"/>
          <w:sz w:val="28"/>
          <w:szCs w:val="28"/>
          <w:lang w:eastAsia="zh-CN"/>
        </w:rPr>
        <w:t>王刚</w:t>
      </w:r>
      <w:r>
        <w:rPr>
          <w:rFonts w:hint="eastAsia" w:eastAsia="方正仿宋_GBK"/>
          <w:sz w:val="28"/>
          <w:szCs w:val="28"/>
        </w:rPr>
        <w:t>　　　　　　　　  审 核 人：</w:t>
      </w:r>
      <w:r>
        <w:rPr>
          <w:rFonts w:hint="eastAsia" w:eastAsia="方正仿宋_GBK"/>
          <w:sz w:val="28"/>
          <w:szCs w:val="28"/>
          <w:lang w:eastAsia="zh-CN"/>
        </w:rPr>
        <w:t>汤杰媚</w:t>
      </w:r>
      <w:r>
        <w:rPr>
          <w:rFonts w:hint="eastAsia" w:eastAsia="方正仿宋_GBK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  报  人：</w:t>
      </w:r>
      <w:r>
        <w:rPr>
          <w:rFonts w:hint="eastAsia" w:eastAsia="方正仿宋_GBK"/>
          <w:sz w:val="28"/>
          <w:szCs w:val="28"/>
          <w:lang w:eastAsia="zh-CN"/>
        </w:rPr>
        <w:t>李祁飙</w:t>
      </w:r>
      <w:r>
        <w:rPr>
          <w:rFonts w:hint="eastAsia" w:eastAsia="方正仿宋_GBK"/>
          <w:sz w:val="28"/>
          <w:szCs w:val="28"/>
        </w:rPr>
        <w:t xml:space="preserve">    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</w:rPr>
        <w:t>联系电话：</w:t>
      </w:r>
      <w:r>
        <w:rPr>
          <w:rFonts w:hint="eastAsia" w:eastAsia="方正仿宋_GBK"/>
          <w:sz w:val="28"/>
          <w:szCs w:val="28"/>
          <w:lang w:val="en-US" w:eastAsia="zh-CN"/>
        </w:rPr>
        <w:t>15887896589</w:t>
      </w:r>
      <w:r>
        <w:rPr>
          <w:rFonts w:hint="eastAsia" w:eastAsia="方正仿宋_GBK"/>
          <w:sz w:val="28"/>
          <w:szCs w:val="28"/>
        </w:rPr>
        <w:t xml:space="preserve"> </w:t>
      </w:r>
    </w:p>
    <w:p>
      <w:pPr>
        <w:spacing w:line="500" w:lineRule="exact"/>
        <w:rPr>
          <w:rFonts w:hint="eastAsia"/>
        </w:rPr>
      </w:pPr>
      <w:r>
        <w:rPr>
          <w:rFonts w:hint="eastAsia" w:eastAsia="方正仿宋_GBK"/>
          <w:sz w:val="28"/>
          <w:szCs w:val="28"/>
        </w:rPr>
        <w:t>填报日期：</w:t>
      </w:r>
      <w:r>
        <w:rPr>
          <w:rFonts w:hint="eastAsia" w:eastAsia="方正仿宋_GBK"/>
          <w:sz w:val="28"/>
          <w:szCs w:val="28"/>
          <w:lang w:val="en-US" w:eastAsia="zh-CN"/>
        </w:rPr>
        <w:t>2019年1月10日</w:t>
      </w:r>
    </w:p>
    <w:sectPr>
      <w:footerReference r:id="rId3" w:type="default"/>
      <w:footerReference r:id="rId4" w:type="even"/>
      <w:pgSz w:w="11907" w:h="16840"/>
      <w:pgMar w:top="1701" w:right="1474" w:bottom="1304" w:left="1588" w:header="1361" w:footer="1191" w:gutter="0"/>
      <w:cols w:space="720" w:num="1"/>
      <w:docGrid w:type="linesAndChars" w:linePitch="59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076" w:y="-36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  <w:lang/>
      </w:rPr>
      <w:t>15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31" w:y="24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  <w:lang/>
      </w:rPr>
      <w:t>14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sw9VGL88WOLBLa7TeSeJ2i0lAWk=" w:salt="6TmOLJxhC/rsywKTZOSHqw=="/>
  <w:defaultTabStop w:val="420"/>
  <w:hyphenationZone w:val="360"/>
  <w:evenAndOddHeaders w:val="1"/>
  <w:drawingGridHorizontalSpacing w:val="162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B4E"/>
    <w:rsid w:val="0001138C"/>
    <w:rsid w:val="00027613"/>
    <w:rsid w:val="000B6E04"/>
    <w:rsid w:val="000F2CA0"/>
    <w:rsid w:val="000F3B6E"/>
    <w:rsid w:val="0012797E"/>
    <w:rsid w:val="00200FAF"/>
    <w:rsid w:val="00214652"/>
    <w:rsid w:val="002448B4"/>
    <w:rsid w:val="00260DB8"/>
    <w:rsid w:val="002A6C5D"/>
    <w:rsid w:val="002A7142"/>
    <w:rsid w:val="002F2B97"/>
    <w:rsid w:val="003336FE"/>
    <w:rsid w:val="00344568"/>
    <w:rsid w:val="003C2FA2"/>
    <w:rsid w:val="003C3004"/>
    <w:rsid w:val="003F5CCA"/>
    <w:rsid w:val="004874DA"/>
    <w:rsid w:val="004D52B6"/>
    <w:rsid w:val="00504CBA"/>
    <w:rsid w:val="005112F3"/>
    <w:rsid w:val="0054012B"/>
    <w:rsid w:val="0054269A"/>
    <w:rsid w:val="00546A6D"/>
    <w:rsid w:val="00577512"/>
    <w:rsid w:val="00582C15"/>
    <w:rsid w:val="005D73C8"/>
    <w:rsid w:val="00634351"/>
    <w:rsid w:val="00634E29"/>
    <w:rsid w:val="00636626"/>
    <w:rsid w:val="00642BE1"/>
    <w:rsid w:val="006705AA"/>
    <w:rsid w:val="006B6A94"/>
    <w:rsid w:val="007551D4"/>
    <w:rsid w:val="00786C97"/>
    <w:rsid w:val="007E4BCD"/>
    <w:rsid w:val="007F6DB9"/>
    <w:rsid w:val="008518F7"/>
    <w:rsid w:val="008749C3"/>
    <w:rsid w:val="00876B06"/>
    <w:rsid w:val="008C77AE"/>
    <w:rsid w:val="009044B3"/>
    <w:rsid w:val="00941D66"/>
    <w:rsid w:val="009C6D23"/>
    <w:rsid w:val="009C790E"/>
    <w:rsid w:val="009D24AD"/>
    <w:rsid w:val="009F2A39"/>
    <w:rsid w:val="00A54A46"/>
    <w:rsid w:val="00AD4D19"/>
    <w:rsid w:val="00B155AD"/>
    <w:rsid w:val="00B17ED9"/>
    <w:rsid w:val="00B27760"/>
    <w:rsid w:val="00C22CDD"/>
    <w:rsid w:val="00C60E9E"/>
    <w:rsid w:val="00CB14BE"/>
    <w:rsid w:val="00CB229F"/>
    <w:rsid w:val="00CE1F94"/>
    <w:rsid w:val="00D165DC"/>
    <w:rsid w:val="00D20177"/>
    <w:rsid w:val="00D369BA"/>
    <w:rsid w:val="00DC5F12"/>
    <w:rsid w:val="00DE7A42"/>
    <w:rsid w:val="00EA1D01"/>
    <w:rsid w:val="00EC0EC8"/>
    <w:rsid w:val="00EE0FF6"/>
    <w:rsid w:val="00F12C6B"/>
    <w:rsid w:val="00F77374"/>
    <w:rsid w:val="012B2027"/>
    <w:rsid w:val="01822A0B"/>
    <w:rsid w:val="03192243"/>
    <w:rsid w:val="040D108D"/>
    <w:rsid w:val="09CB1844"/>
    <w:rsid w:val="0A702952"/>
    <w:rsid w:val="0AE21B9C"/>
    <w:rsid w:val="0B76673C"/>
    <w:rsid w:val="0C2066A5"/>
    <w:rsid w:val="11656D7D"/>
    <w:rsid w:val="11C568EF"/>
    <w:rsid w:val="12CF751A"/>
    <w:rsid w:val="14690793"/>
    <w:rsid w:val="159B6971"/>
    <w:rsid w:val="18D92312"/>
    <w:rsid w:val="1A23215A"/>
    <w:rsid w:val="1E607C9F"/>
    <w:rsid w:val="21E611C4"/>
    <w:rsid w:val="23510A54"/>
    <w:rsid w:val="27996940"/>
    <w:rsid w:val="2A492B9B"/>
    <w:rsid w:val="2B9A0785"/>
    <w:rsid w:val="300D14A9"/>
    <w:rsid w:val="31192584"/>
    <w:rsid w:val="31B96847"/>
    <w:rsid w:val="32F45D01"/>
    <w:rsid w:val="414627F0"/>
    <w:rsid w:val="432E631E"/>
    <w:rsid w:val="450028E2"/>
    <w:rsid w:val="45EA3C78"/>
    <w:rsid w:val="46DF513F"/>
    <w:rsid w:val="4B2E14D7"/>
    <w:rsid w:val="4DB021A1"/>
    <w:rsid w:val="50855D31"/>
    <w:rsid w:val="526720B7"/>
    <w:rsid w:val="53C330B5"/>
    <w:rsid w:val="54556AED"/>
    <w:rsid w:val="55041ABB"/>
    <w:rsid w:val="5E4F3992"/>
    <w:rsid w:val="61CB2DCD"/>
    <w:rsid w:val="62C944FC"/>
    <w:rsid w:val="66F960EE"/>
    <w:rsid w:val="6EA61301"/>
    <w:rsid w:val="6F2A57C9"/>
    <w:rsid w:val="6F77029D"/>
    <w:rsid w:val="6FD00FA8"/>
    <w:rsid w:val="70B60FBE"/>
    <w:rsid w:val="758C23EB"/>
    <w:rsid w:val="77D05C91"/>
    <w:rsid w:val="7C0E35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0000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32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"/>
    <w:basedOn w:val="1"/>
    <w:link w:val="6"/>
    <w:semiHidden/>
    <w:uiPriority w:val="0"/>
    <w:rPr>
      <w:kern w:val="0"/>
      <w:sz w:val="20"/>
      <w:szCs w:val="20"/>
      <w:lang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table" w:styleId="12">
    <w:name w:val="Table Grid"/>
    <w:basedOn w:val="11"/>
    <w:unhideWhenUsed/>
    <w:uiPriority w:val="99"/>
    <w:pPr>
      <w:widowControl w:val="0"/>
      <w:jc w:val="both"/>
    </w:pPr>
    <w:rPr>
      <w:lang w:bidi="ar-SA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p0"/>
    <w:basedOn w:val="1"/>
    <w:uiPriority w:val="0"/>
    <w:pPr>
      <w:widowControl/>
    </w:pPr>
    <w:rPr>
      <w:rFonts w:ascii="宋体" w:hAnsi="宋体" w:cs="宋体"/>
      <w:kern w:val="0"/>
      <w:szCs w:val="32"/>
    </w:rPr>
  </w:style>
  <w:style w:type="paragraph" w:customStyle="1" w:styleId="14">
    <w:name w:val="Char Char2 Char Char Char Char"/>
    <w:basedOn w:val="1"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1058</Words>
  <Characters>6031</Characters>
  <Lines>50</Lines>
  <Paragraphs>14</Paragraphs>
  <ScaleCrop>false</ScaleCrop>
  <LinksUpToDate>false</LinksUpToDate>
  <CharactersWithSpaces>7075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2015-01-04T07:41:00Z</dcterms:created>
  <dc:creator>eshy</dc:creator>
  <cp:lastModifiedBy>钟毅</cp:lastModifiedBy>
  <cp:lastPrinted>2019-01-11T01:54:16Z</cp:lastPrinted>
  <dcterms:modified xsi:type="dcterms:W3CDTF">2019-01-11T01:58:27Z</dcterms:modified>
  <dc:title>推进集体资产财务管理规范化建设，严肃查处贪污、侵占、挪用、质押集体资金等违纪违法行为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AD04530A621648CABFEAC0F1742B5B25</vt:lpwstr>
  </property>
</Properties>
</file>